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EBE2" w14:textId="77777777" w:rsidR="00FB3E3C" w:rsidRPr="00F6352F" w:rsidRDefault="0018136B">
      <w:pPr>
        <w:spacing w:after="120"/>
        <w:rPr>
          <w:lang w:val="nl-NL"/>
        </w:rPr>
      </w:pPr>
      <w:r w:rsidRPr="00F6352F">
        <w:rPr>
          <w:rFonts w:ascii="Arial" w:eastAsia="Arial" w:hAnsi="Arial" w:cs="Arial"/>
          <w:b/>
          <w:color w:val="1E6B3C"/>
          <w:sz w:val="16"/>
          <w:szCs w:val="16"/>
          <w:lang w:val="nl-NL"/>
        </w:rPr>
        <w:t>ANALYSE</w:t>
      </w:r>
      <w:r w:rsidRPr="00F6352F">
        <w:rPr>
          <w:rFonts w:ascii="Arial" w:eastAsia="Arial" w:hAnsi="Arial" w:cs="Arial"/>
          <w:color w:val="8A9B8E"/>
          <w:sz w:val="16"/>
          <w:szCs w:val="16"/>
          <w:lang w:val="nl-NL"/>
        </w:rPr>
        <w:t xml:space="preserve">   ·   </w:t>
      </w:r>
      <w:r w:rsidRPr="00F6352F">
        <w:rPr>
          <w:rFonts w:ascii="Arial" w:eastAsia="Arial" w:hAnsi="Arial" w:cs="Arial"/>
          <w:color w:val="6B8070"/>
          <w:sz w:val="16"/>
          <w:szCs w:val="16"/>
          <w:lang w:val="nl-NL"/>
        </w:rPr>
        <w:t>VERSLAGGEVING &amp; TRANSPARANTIE</w:t>
      </w:r>
    </w:p>
    <w:p w14:paraId="25E1EBE3" w14:textId="77777777" w:rsidR="00FB3E3C" w:rsidRPr="00F6352F" w:rsidRDefault="0018136B">
      <w:pPr>
        <w:pBdr>
          <w:bottom w:val="single" w:sz="10" w:space="0" w:color="1E6B3C"/>
        </w:pBdr>
        <w:spacing w:after="160"/>
        <w:rPr>
          <w:lang w:val="nl-NL"/>
        </w:rPr>
      </w:pPr>
      <w:r w:rsidRPr="00F6352F">
        <w:rPr>
          <w:rFonts w:ascii="Georgia" w:eastAsia="Georgia" w:hAnsi="Georgia" w:cs="Georgia"/>
          <w:b/>
          <w:color w:val="1A2B1E"/>
          <w:sz w:val="44"/>
          <w:szCs w:val="44"/>
          <w:lang w:val="nl-NL"/>
        </w:rPr>
        <w:t>Patrick de Veer (</w:t>
      </w:r>
      <w:proofErr w:type="spellStart"/>
      <w:r w:rsidRPr="00F6352F">
        <w:rPr>
          <w:rFonts w:ascii="Georgia" w:eastAsia="Georgia" w:hAnsi="Georgia" w:cs="Georgia"/>
          <w:b/>
          <w:color w:val="1A2B1E"/>
          <w:sz w:val="44"/>
          <w:szCs w:val="44"/>
          <w:lang w:val="nl-NL"/>
        </w:rPr>
        <w:t>GreenAumatic</w:t>
      </w:r>
      <w:proofErr w:type="spellEnd"/>
      <w:r w:rsidRPr="00F6352F">
        <w:rPr>
          <w:rFonts w:ascii="Georgia" w:eastAsia="Georgia" w:hAnsi="Georgia" w:cs="Georgia"/>
          <w:b/>
          <w:color w:val="1A2B1E"/>
          <w:sz w:val="44"/>
          <w:szCs w:val="44"/>
          <w:lang w:val="nl-NL"/>
        </w:rPr>
        <w:t>): ‘De stille prijs van te laat beginnen met certificering — en wat je er nu al aan kunt doen’</w:t>
      </w:r>
    </w:p>
    <w:p w14:paraId="25E1EBE4" w14:textId="77777777" w:rsidR="00FB3E3C" w:rsidRPr="00F6352F" w:rsidRDefault="00FB3E3C">
      <w:pPr>
        <w:spacing w:after="80"/>
        <w:rPr>
          <w:lang w:val="nl-NL"/>
        </w:rPr>
      </w:pPr>
    </w:p>
    <w:p w14:paraId="25E1EBE5" w14:textId="77777777" w:rsidR="00FB3E3C" w:rsidRPr="00B92F03" w:rsidRDefault="0018136B">
      <w:pPr>
        <w:spacing w:after="160"/>
        <w:rPr>
          <w:lang w:val="nl-NL"/>
        </w:rPr>
      </w:pPr>
      <w:proofErr w:type="spellStart"/>
      <w:r w:rsidRPr="00B92F03">
        <w:rPr>
          <w:rFonts w:ascii="Georgia" w:eastAsia="Georgia" w:hAnsi="Georgia" w:cs="Georgia"/>
          <w:i/>
          <w:iCs/>
          <w:color w:val="5A6B5E"/>
          <w:sz w:val="22"/>
          <w:szCs w:val="22"/>
          <w:lang w:val="nl-NL"/>
        </w:rPr>
        <w:t>EcoVadis</w:t>
      </w:r>
      <w:proofErr w:type="spellEnd"/>
      <w:r w:rsidRPr="00B92F03">
        <w:rPr>
          <w:rFonts w:ascii="Georgia" w:eastAsia="Georgia" w:hAnsi="Georgia" w:cs="Georgia"/>
          <w:i/>
          <w:iCs/>
          <w:color w:val="5A6B5E"/>
          <w:sz w:val="22"/>
          <w:szCs w:val="22"/>
          <w:lang w:val="nl-NL"/>
        </w:rPr>
        <w:t>, B-</w:t>
      </w:r>
      <w:proofErr w:type="spellStart"/>
      <w:r w:rsidRPr="00B92F03">
        <w:rPr>
          <w:rFonts w:ascii="Georgia" w:eastAsia="Georgia" w:hAnsi="Georgia" w:cs="Georgia"/>
          <w:i/>
          <w:iCs/>
          <w:color w:val="5A6B5E"/>
          <w:sz w:val="22"/>
          <w:szCs w:val="22"/>
          <w:lang w:val="nl-NL"/>
        </w:rPr>
        <w:t>Corp</w:t>
      </w:r>
      <w:proofErr w:type="spellEnd"/>
      <w:r w:rsidRPr="00B92F03">
        <w:rPr>
          <w:rFonts w:ascii="Georgia" w:eastAsia="Georgia" w:hAnsi="Georgia" w:cs="Georgia"/>
          <w:i/>
          <w:iCs/>
          <w:color w:val="5A6B5E"/>
          <w:sz w:val="22"/>
          <w:szCs w:val="22"/>
          <w:lang w:val="nl-NL"/>
        </w:rPr>
        <w:t>, MVO Prestatieladder — drie kaders die steeds vaker bepalend zijn voor of je meedoet aan de tafel. De meeste bedrijven beginnen er pas mee als een klant erom vraagt. Dat is precies het verkeerde moment. Wat kost dat, en wat is het alternatief?</w:t>
      </w:r>
    </w:p>
    <w:p w14:paraId="25E1EBE6" w14:textId="7E2BED71" w:rsidR="00FB3E3C" w:rsidRPr="00B92F03" w:rsidRDefault="0018136B">
      <w:pPr>
        <w:spacing w:after="360"/>
        <w:rPr>
          <w:lang w:val="nl-NL"/>
        </w:rPr>
      </w:pPr>
      <w:r w:rsidRPr="00B92F03">
        <w:rPr>
          <w:rFonts w:ascii="Arial" w:eastAsia="Arial" w:hAnsi="Arial" w:cs="Arial"/>
          <w:color w:val="8A9B8E"/>
          <w:sz w:val="18"/>
          <w:szCs w:val="18"/>
          <w:lang w:val="nl-NL"/>
        </w:rPr>
        <w:t xml:space="preserve">Patrick de Veer — </w:t>
      </w:r>
      <w:proofErr w:type="spellStart"/>
      <w:r w:rsidRPr="00B92F03">
        <w:rPr>
          <w:rFonts w:ascii="Arial" w:eastAsia="Arial" w:hAnsi="Arial" w:cs="Arial"/>
          <w:color w:val="8A9B8E"/>
          <w:sz w:val="18"/>
          <w:szCs w:val="18"/>
          <w:lang w:val="nl-NL"/>
        </w:rPr>
        <w:t>GreenAumatic</w:t>
      </w:r>
      <w:proofErr w:type="spellEnd"/>
    </w:p>
    <w:p w14:paraId="25E1EBE7" w14:textId="77777777" w:rsidR="00FB3E3C" w:rsidRPr="00B92F03" w:rsidRDefault="0018136B">
      <w:pPr>
        <w:spacing w:after="160"/>
        <w:rPr>
          <w:lang w:val="nl-NL"/>
        </w:rPr>
      </w:pPr>
      <w:r w:rsidRPr="00B92F03">
        <w:rPr>
          <w:rFonts w:ascii="Georgia" w:eastAsia="Georgia" w:hAnsi="Georgia" w:cs="Georgia"/>
          <w:color w:val="2C3A2E"/>
          <w:sz w:val="22"/>
          <w:szCs w:val="22"/>
          <w:lang w:val="nl-NL"/>
        </w:rPr>
        <w:t xml:space="preserve">Ik spreek regelmatig met ondernemers die een </w:t>
      </w:r>
      <w:proofErr w:type="spellStart"/>
      <w:r w:rsidRPr="00B92F03">
        <w:rPr>
          <w:rFonts w:ascii="Georgia" w:eastAsia="Georgia" w:hAnsi="Georgia" w:cs="Georgia"/>
          <w:color w:val="2C3A2E"/>
          <w:sz w:val="22"/>
          <w:szCs w:val="22"/>
          <w:lang w:val="nl-NL"/>
        </w:rPr>
        <w:t>EcoVadis</w:t>
      </w:r>
      <w:proofErr w:type="spellEnd"/>
      <w:r w:rsidRPr="00B92F03">
        <w:rPr>
          <w:rFonts w:ascii="Georgia" w:eastAsia="Georgia" w:hAnsi="Georgia" w:cs="Georgia"/>
          <w:color w:val="2C3A2E"/>
          <w:sz w:val="22"/>
          <w:szCs w:val="22"/>
          <w:lang w:val="nl-NL"/>
        </w:rPr>
        <w:t>-verzoek hebben ontvangen van een grote opdrachtgever. In de praktijk krijgen leveranciers gemiddeld 30 werkdagen om hun vragenlijst in te dienen — maar door interne afstemming, het verzamelen van documenten en het ophalen van informatie bij collega’s, voelt die termijn als twee tot vier weken effectieve werktijd. Dan begint de sprint: beleid in elkaar schrijven, bewijs zoeken voor zaken die al jaren goed gaan maar nooit zijn vastgelegd. Het resultaat is voorspelbaar: een score die de werkelijkheid onderschat, een eerste indruk die je jarenlang achtervolgt — en een gevoel bij je opdrachtgever dat je duurzaamheid pas serieus neemt als hij erom vraagt.</w:t>
      </w:r>
    </w:p>
    <w:p w14:paraId="25E1EBE8" w14:textId="77777777" w:rsidR="00FB3E3C" w:rsidRPr="00B92F03" w:rsidRDefault="0018136B">
      <w:pPr>
        <w:spacing w:after="160"/>
        <w:rPr>
          <w:lang w:val="nl-NL"/>
        </w:rPr>
      </w:pPr>
      <w:r w:rsidRPr="00B92F03">
        <w:rPr>
          <w:rFonts w:ascii="Georgia" w:eastAsia="Georgia" w:hAnsi="Georgia" w:cs="Georgia"/>
          <w:color w:val="2C3A2E"/>
          <w:sz w:val="22"/>
          <w:szCs w:val="22"/>
          <w:lang w:val="nl-NL"/>
        </w:rPr>
        <w:t xml:space="preserve">Dat laatste gevoel is bijna niet meer te repareren met een betere score. En de score zelf evenmin zo snel: </w:t>
      </w:r>
      <w:proofErr w:type="spellStart"/>
      <w:r w:rsidRPr="00B92F03">
        <w:rPr>
          <w:rFonts w:ascii="Georgia" w:eastAsia="Georgia" w:hAnsi="Georgia" w:cs="Georgia"/>
          <w:color w:val="2C3A2E"/>
          <w:sz w:val="22"/>
          <w:szCs w:val="22"/>
          <w:lang w:val="nl-NL"/>
        </w:rPr>
        <w:t>EcoVadis</w:t>
      </w:r>
      <w:proofErr w:type="spellEnd"/>
      <w:r w:rsidRPr="00B92F03">
        <w:rPr>
          <w:rFonts w:ascii="Georgia" w:eastAsia="Georgia" w:hAnsi="Georgia" w:cs="Georgia"/>
          <w:color w:val="2C3A2E"/>
          <w:sz w:val="22"/>
          <w:szCs w:val="22"/>
          <w:lang w:val="nl-NL"/>
        </w:rPr>
        <w:t>-scores zijn niet anoniem. Ze zijn zichtbaar voor alle aanbestedende partijen die gebruik maken van het platform. Een lage startscore verdwijnt niet zodra je hem verbetert — hij blijft onderdeel van je profiel en is vergelijkbaar met voorgaande scores.</w:t>
      </w:r>
    </w:p>
    <w:p w14:paraId="25E1EBE9" w14:textId="77777777" w:rsidR="00FB3E3C" w:rsidRPr="00B92F03" w:rsidRDefault="00FB3E3C">
      <w:pPr>
        <w:spacing w:after="100"/>
        <w:rPr>
          <w:lang w:val="nl-NL"/>
        </w:rPr>
      </w:pPr>
    </w:p>
    <w:tbl>
      <w:tblPr>
        <w:tblW w:w="9072" w:type="dxa"/>
        <w:tblInd w:w="-25"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FB3E3C" w:rsidRPr="00F6352F" w14:paraId="25E1EBEC" w14:textId="447C1C1F">
        <w:tc>
          <w:tcPr>
            <w:tcW w:w="9072" w:type="dxa"/>
            <w:tcBorders>
              <w:top w:val="none" w:sz="0" w:space="0" w:color="FFFFFF"/>
              <w:left w:val="thick" w:sz="20" w:space="0" w:color="1E6B3C"/>
              <w:bottom w:val="none" w:sz="0" w:space="0" w:color="FFFFFF"/>
              <w:right w:val="none" w:sz="0" w:space="0" w:color="FFFFFF"/>
            </w:tcBorders>
            <w:shd w:val="clear" w:color="auto" w:fill="EAF4EE"/>
            <w:tcMar>
              <w:top w:w="160" w:type="dxa"/>
              <w:left w:w="240" w:type="dxa"/>
              <w:bottom w:w="160" w:type="dxa"/>
              <w:right w:w="240" w:type="dxa"/>
            </w:tcMar>
          </w:tcPr>
          <w:p w14:paraId="25E1EBEA" w14:textId="77777777" w:rsidR="00FB3E3C" w:rsidRPr="00B92F03" w:rsidRDefault="0018136B">
            <w:pPr>
              <w:spacing w:after="80"/>
              <w:rPr>
                <w:lang w:val="nl-NL"/>
              </w:rPr>
            </w:pPr>
            <w:r w:rsidRPr="00B92F03">
              <w:rPr>
                <w:rFonts w:ascii="Georgia" w:eastAsia="Georgia" w:hAnsi="Georgia" w:cs="Georgia"/>
                <w:b/>
                <w:bCs/>
                <w:i/>
                <w:iCs/>
                <w:color w:val="1A2B1E"/>
                <w:sz w:val="24"/>
                <w:szCs w:val="24"/>
                <w:lang w:val="nl-NL"/>
              </w:rPr>
              <w:t>„We stonden er al veel beter voor dan we dachten. We wisten het alleen niet.”</w:t>
            </w:r>
          </w:p>
          <w:p w14:paraId="25E1EBEB" w14:textId="77777777" w:rsidR="00FB3E3C" w:rsidRPr="00B92F03" w:rsidRDefault="0018136B">
            <w:pPr>
              <w:rPr>
                <w:lang w:val="nl-NL"/>
              </w:rPr>
            </w:pPr>
            <w:r w:rsidRPr="00B92F03">
              <w:rPr>
                <w:rFonts w:ascii="Arial" w:eastAsia="Arial" w:hAnsi="Arial" w:cs="Arial"/>
                <w:color w:val="8A9B8E"/>
                <w:sz w:val="18"/>
                <w:szCs w:val="18"/>
                <w:lang w:val="nl-NL"/>
              </w:rPr>
              <w:t>— Veelgehoord na een eerste certificeringsscan</w:t>
            </w:r>
          </w:p>
        </w:tc>
      </w:tr>
    </w:tbl>
    <w:p w14:paraId="25E1EBED" w14:textId="77777777" w:rsidR="00FB3E3C" w:rsidRPr="00B92F03" w:rsidRDefault="00FB3E3C">
      <w:pPr>
        <w:spacing w:after="100"/>
        <w:rPr>
          <w:lang w:val="nl-NL"/>
        </w:rPr>
      </w:pPr>
    </w:p>
    <w:p w14:paraId="25E1EBEE" w14:textId="77777777" w:rsidR="00FB3E3C" w:rsidRPr="00B92F03" w:rsidRDefault="0018136B">
      <w:pPr>
        <w:spacing w:after="160"/>
        <w:rPr>
          <w:lang w:val="nl-NL"/>
        </w:rPr>
      </w:pPr>
      <w:r w:rsidRPr="00B92F03">
        <w:rPr>
          <w:rFonts w:ascii="Georgia" w:eastAsia="Georgia" w:hAnsi="Georgia" w:cs="Georgia"/>
          <w:color w:val="2C3A2E"/>
          <w:sz w:val="22"/>
          <w:szCs w:val="22"/>
          <w:lang w:val="nl-NL"/>
        </w:rPr>
        <w:t>Dit is de meest onderschatte les uit de praktijk: het probleem zit zelden in de prestatie. Het zit in de blinde vlek. Bedrijven die al jaren goed bezig zijn op het gebied van medewerkerswelzijn, eerlijke inkoop of CO</w:t>
      </w:r>
      <w:r w:rsidRPr="00B92F03">
        <w:rPr>
          <w:rFonts w:ascii="Georgia" w:eastAsia="Georgia" w:hAnsi="Georgia" w:cs="Georgia"/>
          <w:color w:val="2C3A2E"/>
          <w:sz w:val="22"/>
          <w:szCs w:val="22"/>
          <w:vertAlign w:val="subscript"/>
          <w:lang w:val="nl-NL"/>
        </w:rPr>
        <w:t>2</w:t>
      </w:r>
      <w:r w:rsidRPr="00B92F03">
        <w:rPr>
          <w:rFonts w:ascii="Georgia" w:eastAsia="Georgia" w:hAnsi="Georgia" w:cs="Georgia"/>
          <w:color w:val="2C3A2E"/>
          <w:sz w:val="22"/>
          <w:szCs w:val="22"/>
          <w:lang w:val="nl-NL"/>
        </w:rPr>
        <w:t>-reductie, hebben dat vaak nergens gestructureerd vastgelegd. Het bestaat — maar het is onzichtbaar. En onzichtbaar telt niet mee.</w:t>
      </w:r>
    </w:p>
    <w:p w14:paraId="25E1EBEF" w14:textId="77777777" w:rsidR="00FB3E3C" w:rsidRPr="00B92F03" w:rsidRDefault="0018136B">
      <w:pPr>
        <w:pBdr>
          <w:bottom w:val="single" w:sz="4" w:space="0" w:color="D4E0D8"/>
        </w:pBdr>
        <w:spacing w:before="320" w:after="120"/>
        <w:rPr>
          <w:lang w:val="nl-NL"/>
        </w:rPr>
      </w:pPr>
      <w:r w:rsidRPr="00B92F03">
        <w:rPr>
          <w:rFonts w:ascii="Georgia" w:eastAsia="Georgia" w:hAnsi="Georgia" w:cs="Georgia"/>
          <w:b/>
          <w:bCs/>
          <w:color w:val="1E6B3C"/>
          <w:sz w:val="28"/>
          <w:szCs w:val="28"/>
          <w:lang w:val="nl-NL"/>
        </w:rPr>
        <w:t>Drie kaders, drie logica’s — en drie veelgemaakte fouten</w:t>
      </w:r>
    </w:p>
    <w:p w14:paraId="25E1EBF0" w14:textId="77777777" w:rsidR="00FB3E3C" w:rsidRPr="00B92F03" w:rsidRDefault="0018136B">
      <w:pPr>
        <w:spacing w:after="160"/>
        <w:rPr>
          <w:lang w:val="nl-NL"/>
        </w:rPr>
      </w:pPr>
      <w:r w:rsidRPr="00B92F03">
        <w:rPr>
          <w:rFonts w:ascii="Georgia" w:eastAsia="Georgia" w:hAnsi="Georgia" w:cs="Georgia"/>
          <w:color w:val="2C3A2E"/>
          <w:sz w:val="22"/>
          <w:szCs w:val="22"/>
          <w:lang w:val="nl-NL"/>
        </w:rPr>
        <w:t>Er zijn tientallen duurzaamheidskeurmerken, maar drie certificeringen domineren steeds meer de zakelijke gesprekken in het Nederlandse MKB en de Belgische KMO-markt: B-</w:t>
      </w:r>
      <w:proofErr w:type="spellStart"/>
      <w:r w:rsidRPr="00B92F03">
        <w:rPr>
          <w:rFonts w:ascii="Georgia" w:eastAsia="Georgia" w:hAnsi="Georgia" w:cs="Georgia"/>
          <w:color w:val="2C3A2E"/>
          <w:sz w:val="22"/>
          <w:szCs w:val="22"/>
          <w:lang w:val="nl-NL"/>
        </w:rPr>
        <w:t>Corp</w:t>
      </w:r>
      <w:proofErr w:type="spellEnd"/>
      <w:r w:rsidRPr="00B92F03">
        <w:rPr>
          <w:rFonts w:ascii="Georgia" w:eastAsia="Georgia" w:hAnsi="Georgia" w:cs="Georgia"/>
          <w:color w:val="2C3A2E"/>
          <w:sz w:val="22"/>
          <w:szCs w:val="22"/>
          <w:lang w:val="nl-NL"/>
        </w:rPr>
        <w:t xml:space="preserve">, </w:t>
      </w:r>
      <w:proofErr w:type="spellStart"/>
      <w:r w:rsidRPr="00B92F03">
        <w:rPr>
          <w:rFonts w:ascii="Georgia" w:eastAsia="Georgia" w:hAnsi="Georgia" w:cs="Georgia"/>
          <w:color w:val="2C3A2E"/>
          <w:sz w:val="22"/>
          <w:szCs w:val="22"/>
          <w:lang w:val="nl-NL"/>
        </w:rPr>
        <w:t>EcoVadis</w:t>
      </w:r>
      <w:proofErr w:type="spellEnd"/>
      <w:r w:rsidRPr="00B92F03">
        <w:rPr>
          <w:rFonts w:ascii="Georgia" w:eastAsia="Georgia" w:hAnsi="Georgia" w:cs="Georgia"/>
          <w:color w:val="2C3A2E"/>
          <w:sz w:val="22"/>
          <w:szCs w:val="22"/>
          <w:lang w:val="nl-NL"/>
        </w:rPr>
        <w:t xml:space="preserve"> en de MVO Prestatieladder. Ze zijn fundamenteel anders van aard, maar worden regelmatig door elkaar gehaald. Dat leidt tot verkeerde keuzes — en te late starts.</w:t>
      </w:r>
    </w:p>
    <w:p w14:paraId="657337F1" w14:textId="77777777" w:rsidR="00B92F03" w:rsidRDefault="00B92F03">
      <w:pPr>
        <w:spacing w:before="260" w:after="100"/>
        <w:rPr>
          <w:rFonts w:ascii="Georgia" w:eastAsia="Georgia" w:hAnsi="Georgia" w:cs="Georgia"/>
          <w:b/>
          <w:bCs/>
          <w:color w:val="1A2B1E"/>
          <w:sz w:val="24"/>
          <w:szCs w:val="24"/>
          <w:lang w:val="nl-NL"/>
        </w:rPr>
      </w:pPr>
    </w:p>
    <w:p w14:paraId="5C8E32B1" w14:textId="77777777" w:rsidR="00B92F03" w:rsidRDefault="00B92F03">
      <w:pPr>
        <w:spacing w:before="260" w:after="100"/>
        <w:rPr>
          <w:rFonts w:ascii="Georgia" w:eastAsia="Georgia" w:hAnsi="Georgia" w:cs="Georgia"/>
          <w:b/>
          <w:bCs/>
          <w:color w:val="1A2B1E"/>
          <w:sz w:val="24"/>
          <w:szCs w:val="24"/>
          <w:lang w:val="nl-NL"/>
        </w:rPr>
      </w:pPr>
    </w:p>
    <w:p w14:paraId="25E1EBF1" w14:textId="2E1AFDFA" w:rsidR="00FB3E3C" w:rsidRPr="00B92F03" w:rsidRDefault="0018136B">
      <w:pPr>
        <w:spacing w:before="260" w:after="100"/>
        <w:rPr>
          <w:lang w:val="nl-NL"/>
        </w:rPr>
      </w:pPr>
      <w:r w:rsidRPr="00B92F03">
        <w:rPr>
          <w:rFonts w:ascii="Georgia" w:eastAsia="Georgia" w:hAnsi="Georgia" w:cs="Georgia"/>
          <w:b/>
          <w:bCs/>
          <w:color w:val="1A2B1E"/>
          <w:sz w:val="24"/>
          <w:szCs w:val="24"/>
          <w:lang w:val="nl-NL"/>
        </w:rPr>
        <w:lastRenderedPageBreak/>
        <w:t>B-</w:t>
      </w:r>
      <w:proofErr w:type="spellStart"/>
      <w:r w:rsidRPr="00B92F03">
        <w:rPr>
          <w:rFonts w:ascii="Georgia" w:eastAsia="Georgia" w:hAnsi="Georgia" w:cs="Georgia"/>
          <w:b/>
          <w:bCs/>
          <w:color w:val="1A2B1E"/>
          <w:sz w:val="24"/>
          <w:szCs w:val="24"/>
          <w:lang w:val="nl-NL"/>
        </w:rPr>
        <w:t>Corp</w:t>
      </w:r>
      <w:proofErr w:type="spellEnd"/>
      <w:r w:rsidRPr="00B92F03">
        <w:rPr>
          <w:rFonts w:ascii="Georgia" w:eastAsia="Georgia" w:hAnsi="Georgia" w:cs="Georgia"/>
          <w:b/>
          <w:bCs/>
          <w:color w:val="1A2B1E"/>
          <w:sz w:val="24"/>
          <w:szCs w:val="24"/>
          <w:lang w:val="nl-NL"/>
        </w:rPr>
        <w:t>: bewijs van impact, niet alleen van bedoelingen</w:t>
      </w:r>
    </w:p>
    <w:p w14:paraId="25E1EBF2" w14:textId="77777777" w:rsidR="00FB3E3C" w:rsidRPr="00B92F03" w:rsidRDefault="0018136B">
      <w:pPr>
        <w:spacing w:after="160"/>
        <w:rPr>
          <w:lang w:val="nl-NL"/>
        </w:rPr>
      </w:pPr>
      <w:r w:rsidRPr="00B92F03">
        <w:rPr>
          <w:rFonts w:ascii="Georgia" w:eastAsia="Georgia" w:hAnsi="Georgia" w:cs="Georgia"/>
          <w:color w:val="2C3A2E"/>
          <w:sz w:val="22"/>
          <w:szCs w:val="22"/>
          <w:lang w:val="nl-NL"/>
        </w:rPr>
        <w:t>B-</w:t>
      </w:r>
      <w:proofErr w:type="spellStart"/>
      <w:r w:rsidRPr="00B92F03">
        <w:rPr>
          <w:rFonts w:ascii="Georgia" w:eastAsia="Georgia" w:hAnsi="Georgia" w:cs="Georgia"/>
          <w:color w:val="2C3A2E"/>
          <w:sz w:val="22"/>
          <w:szCs w:val="22"/>
          <w:lang w:val="nl-NL"/>
        </w:rPr>
        <w:t>Corp</w:t>
      </w:r>
      <w:proofErr w:type="spellEnd"/>
      <w:r w:rsidRPr="00B92F03">
        <w:rPr>
          <w:rFonts w:ascii="Georgia" w:eastAsia="Georgia" w:hAnsi="Georgia" w:cs="Georgia"/>
          <w:color w:val="2C3A2E"/>
          <w:sz w:val="22"/>
          <w:szCs w:val="22"/>
          <w:lang w:val="nl-NL"/>
        </w:rPr>
        <w:t xml:space="preserve"> heeft de afgelopen twee jaar een fundamentele systeemwijziging doorgevoerd. In 2024 startte de voorbereiding; in 2025–2026 is de nieuwe standaard officieel ingevoerd — en die is wezenlijk anders dan wat veel ondernemers nog voor ogen hebben.</w:t>
      </w:r>
    </w:p>
    <w:p w14:paraId="25E1EBF3" w14:textId="77777777" w:rsidR="00FB3E3C" w:rsidRPr="00B92F03" w:rsidRDefault="0018136B">
      <w:pPr>
        <w:spacing w:after="160"/>
        <w:rPr>
          <w:lang w:val="nl-NL"/>
        </w:rPr>
      </w:pPr>
      <w:r w:rsidRPr="00B92F03">
        <w:rPr>
          <w:rFonts w:ascii="Georgia" w:eastAsia="Georgia" w:hAnsi="Georgia" w:cs="Georgia"/>
          <w:color w:val="2C3A2E"/>
          <w:sz w:val="22"/>
          <w:szCs w:val="22"/>
          <w:lang w:val="nl-NL"/>
        </w:rPr>
        <w:t>Het oude systeem werkte met punten: minimaal 80 van de 200, waarbij sterke prestaties op medewerkers zwaktes op klimaat konden maskeren. Dat systeem bestaat niet meer. Het nieuwe systeem stelt verplichte minimumvereisten in álle zeven impactdomeinen: bestuur en transparantie, klimaatactie, eerlijk loon en gelijke kansen, welzijn van medewerkers, mensenrechten in de keten, gezondheid van gemeenschappen en klantverantwoordelijkheid. Deze eisen zijn ‘non-</w:t>
      </w:r>
      <w:proofErr w:type="spellStart"/>
      <w:r w:rsidRPr="00B92F03">
        <w:rPr>
          <w:rFonts w:ascii="Georgia" w:eastAsia="Georgia" w:hAnsi="Georgia" w:cs="Georgia"/>
          <w:color w:val="2C3A2E"/>
          <w:sz w:val="22"/>
          <w:szCs w:val="22"/>
          <w:lang w:val="nl-NL"/>
        </w:rPr>
        <w:t>negotiable</w:t>
      </w:r>
      <w:proofErr w:type="spellEnd"/>
      <w:r w:rsidRPr="00B92F03">
        <w:rPr>
          <w:rFonts w:ascii="Georgia" w:eastAsia="Georgia" w:hAnsi="Georgia" w:cs="Georgia"/>
          <w:color w:val="2C3A2E"/>
          <w:sz w:val="22"/>
          <w:szCs w:val="22"/>
          <w:lang w:val="nl-NL"/>
        </w:rPr>
        <w:t>’ — compensatie tussen domeinen is niet langer mogelijk.</w:t>
      </w:r>
    </w:p>
    <w:p w14:paraId="25E1EBF4" w14:textId="77777777" w:rsidR="00FB3E3C" w:rsidRPr="00B92F03" w:rsidRDefault="0018136B">
      <w:pPr>
        <w:spacing w:after="160"/>
        <w:rPr>
          <w:lang w:val="nl-NL"/>
        </w:rPr>
      </w:pPr>
      <w:r w:rsidRPr="00B92F03">
        <w:rPr>
          <w:rFonts w:ascii="Georgia" w:eastAsia="Georgia" w:hAnsi="Georgia" w:cs="Georgia"/>
          <w:color w:val="2C3A2E"/>
          <w:sz w:val="22"/>
          <w:szCs w:val="22"/>
          <w:lang w:val="nl-NL"/>
        </w:rPr>
        <w:t xml:space="preserve">Daarnaast zijn </w:t>
      </w:r>
      <w:proofErr w:type="spellStart"/>
      <w:r w:rsidRPr="00B92F03">
        <w:rPr>
          <w:rFonts w:ascii="Georgia" w:eastAsia="Georgia" w:hAnsi="Georgia" w:cs="Georgia"/>
          <w:color w:val="2C3A2E"/>
          <w:sz w:val="22"/>
          <w:szCs w:val="22"/>
          <w:lang w:val="nl-NL"/>
        </w:rPr>
        <w:t>third</w:t>
      </w:r>
      <w:proofErr w:type="spellEnd"/>
      <w:r w:rsidRPr="00B92F03">
        <w:rPr>
          <w:rFonts w:ascii="Georgia" w:eastAsia="Georgia" w:hAnsi="Georgia" w:cs="Georgia"/>
          <w:color w:val="2C3A2E"/>
          <w:sz w:val="22"/>
          <w:szCs w:val="22"/>
          <w:lang w:val="nl-NL"/>
        </w:rPr>
        <w:t xml:space="preserve">-party audits ingevoerd, gelden strengere eisen rond klimaat, mensenrechten, fiscaliteit en </w:t>
      </w:r>
      <w:proofErr w:type="spellStart"/>
      <w:r w:rsidRPr="00B92F03">
        <w:rPr>
          <w:rFonts w:ascii="Georgia" w:eastAsia="Georgia" w:hAnsi="Georgia" w:cs="Georgia"/>
          <w:color w:val="2C3A2E"/>
          <w:sz w:val="22"/>
          <w:szCs w:val="22"/>
          <w:lang w:val="nl-NL"/>
        </w:rPr>
        <w:t>governance</w:t>
      </w:r>
      <w:proofErr w:type="spellEnd"/>
      <w:r w:rsidRPr="00B92F03">
        <w:rPr>
          <w:rFonts w:ascii="Georgia" w:eastAsia="Georgia" w:hAnsi="Georgia" w:cs="Georgia"/>
          <w:color w:val="2C3A2E"/>
          <w:sz w:val="22"/>
          <w:szCs w:val="22"/>
          <w:lang w:val="nl-NL"/>
        </w:rPr>
        <w:t>, en sluit de standaard aan op Europese regelgeving rond duurzaamheidsclaims (ECGT). De consequentie is merkbaar: analisten verwachten dat een deel van de bestaande B-Corps hun certificering moeilijker zal kunnen behouden onder de nieuwe vereisten. Wie nu begint met de voorbereiding, start met een aanzienlijk hogere lat dan een paar jaar geleden.</w:t>
      </w:r>
    </w:p>
    <w:p w14:paraId="25E1EBF5" w14:textId="77777777" w:rsidR="00FB3E3C" w:rsidRPr="00B92F03" w:rsidRDefault="00FB3E3C">
      <w:pPr>
        <w:spacing w:after="80"/>
        <w:rPr>
          <w:lang w:val="nl-NL"/>
        </w:rPr>
      </w:pPr>
    </w:p>
    <w:tbl>
      <w:tblPr>
        <w:tblW w:w="9072" w:type="dxa"/>
        <w:tblInd w:w="-25"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FB3E3C" w:rsidRPr="00F6352F" w14:paraId="25E1EBF7" w14:textId="2E296979">
        <w:tc>
          <w:tcPr>
            <w:tcW w:w="9072" w:type="dxa"/>
            <w:tcBorders>
              <w:top w:val="none" w:sz="0" w:space="0" w:color="FFFFFF"/>
              <w:left w:val="thick" w:sz="20" w:space="0" w:color="854F0B"/>
              <w:bottom w:val="none" w:sz="0" w:space="0" w:color="FFFFFF"/>
              <w:right w:val="none" w:sz="0" w:space="0" w:color="FFFFFF"/>
            </w:tcBorders>
            <w:shd w:val="clear" w:color="auto" w:fill="FDF0E3"/>
            <w:tcMar>
              <w:top w:w="140" w:type="dxa"/>
              <w:left w:w="200" w:type="dxa"/>
              <w:bottom w:w="140" w:type="dxa"/>
              <w:right w:w="200" w:type="dxa"/>
            </w:tcMar>
          </w:tcPr>
          <w:p w14:paraId="25E1EBF6" w14:textId="77777777" w:rsidR="00FB3E3C" w:rsidRPr="00B92F03" w:rsidRDefault="0018136B">
            <w:pPr>
              <w:rPr>
                <w:lang w:val="nl-NL"/>
              </w:rPr>
            </w:pPr>
            <w:r w:rsidRPr="00B92F03">
              <w:rPr>
                <w:rFonts w:ascii="Arial" w:eastAsia="Arial" w:hAnsi="Arial" w:cs="Arial"/>
                <w:b/>
                <w:bCs/>
                <w:color w:val="854F0B"/>
                <w:lang w:val="nl-NL"/>
              </w:rPr>
              <w:t xml:space="preserve">Meest onderschatte blinde vlek: </w:t>
            </w:r>
            <w:proofErr w:type="spellStart"/>
            <w:r w:rsidRPr="00B92F03">
              <w:rPr>
                <w:rFonts w:ascii="Arial" w:eastAsia="Arial" w:hAnsi="Arial" w:cs="Arial"/>
                <w:color w:val="2C3A2E"/>
                <w:lang w:val="nl-NL"/>
              </w:rPr>
              <w:t>Governance</w:t>
            </w:r>
            <w:proofErr w:type="spellEnd"/>
            <w:r w:rsidRPr="00B92F03">
              <w:rPr>
                <w:rFonts w:ascii="Arial" w:eastAsia="Arial" w:hAnsi="Arial" w:cs="Arial"/>
                <w:color w:val="2C3A2E"/>
                <w:lang w:val="nl-NL"/>
              </w:rPr>
              <w:t>. De meeste MKB-ondernemers nemen intern goede beslissingen, maar zonder formeel beleid, gedragscode of transparantierapportage telt dat voor B-</w:t>
            </w:r>
            <w:proofErr w:type="spellStart"/>
            <w:r w:rsidRPr="00B92F03">
              <w:rPr>
                <w:rFonts w:ascii="Arial" w:eastAsia="Arial" w:hAnsi="Arial" w:cs="Arial"/>
                <w:color w:val="2C3A2E"/>
                <w:lang w:val="nl-NL"/>
              </w:rPr>
              <w:t>Corp</w:t>
            </w:r>
            <w:proofErr w:type="spellEnd"/>
            <w:r w:rsidRPr="00B92F03">
              <w:rPr>
                <w:rFonts w:ascii="Arial" w:eastAsia="Arial" w:hAnsi="Arial" w:cs="Arial"/>
                <w:color w:val="2C3A2E"/>
                <w:lang w:val="nl-NL"/>
              </w:rPr>
              <w:t xml:space="preserve"> niet mee. Wie zijn besluitvorming niet op papier heeft staan, onderschat zijn score structureel.</w:t>
            </w:r>
          </w:p>
        </w:tc>
      </w:tr>
    </w:tbl>
    <w:p w14:paraId="25E1EBF8" w14:textId="77777777" w:rsidR="00FB3E3C" w:rsidRPr="00B92F03" w:rsidRDefault="00FB3E3C">
      <w:pPr>
        <w:spacing w:after="80"/>
        <w:rPr>
          <w:lang w:val="nl-NL"/>
        </w:rPr>
      </w:pPr>
    </w:p>
    <w:p w14:paraId="25E1EBF9" w14:textId="77777777" w:rsidR="00FB3E3C" w:rsidRPr="00B92F03" w:rsidRDefault="0018136B">
      <w:pPr>
        <w:spacing w:after="160"/>
        <w:rPr>
          <w:lang w:val="nl-NL"/>
        </w:rPr>
      </w:pPr>
      <w:r w:rsidRPr="00B92F03">
        <w:rPr>
          <w:rFonts w:ascii="Georgia" w:eastAsia="Georgia" w:hAnsi="Georgia" w:cs="Georgia"/>
          <w:color w:val="2C3A2E"/>
          <w:sz w:val="22"/>
          <w:szCs w:val="22"/>
          <w:lang w:val="nl-NL"/>
        </w:rPr>
        <w:t>B-</w:t>
      </w:r>
      <w:proofErr w:type="spellStart"/>
      <w:r w:rsidRPr="00B92F03">
        <w:rPr>
          <w:rFonts w:ascii="Georgia" w:eastAsia="Georgia" w:hAnsi="Georgia" w:cs="Georgia"/>
          <w:color w:val="2C3A2E"/>
          <w:sz w:val="22"/>
          <w:szCs w:val="22"/>
          <w:lang w:val="nl-NL"/>
        </w:rPr>
        <w:t>Corp</w:t>
      </w:r>
      <w:proofErr w:type="spellEnd"/>
      <w:r w:rsidRPr="00B92F03">
        <w:rPr>
          <w:rFonts w:ascii="Georgia" w:eastAsia="Georgia" w:hAnsi="Georgia" w:cs="Georgia"/>
          <w:color w:val="2C3A2E"/>
          <w:sz w:val="22"/>
          <w:szCs w:val="22"/>
          <w:lang w:val="nl-NL"/>
        </w:rPr>
        <w:t xml:space="preserve"> duurt gemiddeld 12 tot 24 maanden en kost tussen de €2.000 en €10.000+, afhankelijk van bedrijfsgrootte en externe begeleiding. Het is een zwaar traject — maar het label zegt steeds meer. Wie een B-</w:t>
      </w:r>
      <w:proofErr w:type="spellStart"/>
      <w:r w:rsidRPr="00B92F03">
        <w:rPr>
          <w:rFonts w:ascii="Georgia" w:eastAsia="Georgia" w:hAnsi="Georgia" w:cs="Georgia"/>
          <w:color w:val="2C3A2E"/>
          <w:sz w:val="22"/>
          <w:szCs w:val="22"/>
          <w:lang w:val="nl-NL"/>
        </w:rPr>
        <w:t>Corp</w:t>
      </w:r>
      <w:proofErr w:type="spellEnd"/>
      <w:r w:rsidRPr="00B92F03">
        <w:rPr>
          <w:rFonts w:ascii="Georgia" w:eastAsia="Georgia" w:hAnsi="Georgia" w:cs="Georgia"/>
          <w:color w:val="2C3A2E"/>
          <w:sz w:val="22"/>
          <w:szCs w:val="22"/>
          <w:lang w:val="nl-NL"/>
        </w:rPr>
        <w:t xml:space="preserve"> heeft, heeft niet alleen een keurmerk. Het heeft een intern managementsysteem dat betere beslissingen produceert.</w:t>
      </w:r>
    </w:p>
    <w:p w14:paraId="25E1EBFA" w14:textId="77777777" w:rsidR="00FB3E3C" w:rsidRPr="00B92F03" w:rsidRDefault="0018136B">
      <w:pPr>
        <w:spacing w:before="260" w:after="100"/>
        <w:rPr>
          <w:lang w:val="nl-NL"/>
        </w:rPr>
      </w:pPr>
      <w:proofErr w:type="spellStart"/>
      <w:r w:rsidRPr="00B92F03">
        <w:rPr>
          <w:rFonts w:ascii="Georgia" w:eastAsia="Georgia" w:hAnsi="Georgia" w:cs="Georgia"/>
          <w:b/>
          <w:bCs/>
          <w:color w:val="1A2B1E"/>
          <w:sz w:val="24"/>
          <w:szCs w:val="24"/>
          <w:lang w:val="nl-NL"/>
        </w:rPr>
        <w:t>EcoVadis</w:t>
      </w:r>
      <w:proofErr w:type="spellEnd"/>
      <w:r w:rsidRPr="00B92F03">
        <w:rPr>
          <w:rFonts w:ascii="Georgia" w:eastAsia="Georgia" w:hAnsi="Georgia" w:cs="Georgia"/>
          <w:b/>
          <w:bCs/>
          <w:color w:val="1A2B1E"/>
          <w:sz w:val="24"/>
          <w:szCs w:val="24"/>
          <w:lang w:val="nl-NL"/>
        </w:rPr>
        <w:t>: de standaard die je klant aan je vraagt</w:t>
      </w:r>
    </w:p>
    <w:p w14:paraId="25E1EBFB" w14:textId="77777777" w:rsidR="00FB3E3C" w:rsidRPr="00B92F03" w:rsidRDefault="0018136B">
      <w:pPr>
        <w:spacing w:after="160"/>
        <w:rPr>
          <w:lang w:val="nl-NL"/>
        </w:rPr>
      </w:pPr>
      <w:proofErr w:type="spellStart"/>
      <w:r w:rsidRPr="00B92F03">
        <w:rPr>
          <w:rFonts w:ascii="Georgia" w:eastAsia="Georgia" w:hAnsi="Georgia" w:cs="Georgia"/>
          <w:color w:val="2C3A2E"/>
          <w:sz w:val="22"/>
          <w:szCs w:val="22"/>
          <w:lang w:val="nl-NL"/>
        </w:rPr>
        <w:t>EcoVadis</w:t>
      </w:r>
      <w:proofErr w:type="spellEnd"/>
      <w:r w:rsidRPr="00B92F03">
        <w:rPr>
          <w:rFonts w:ascii="Georgia" w:eastAsia="Georgia" w:hAnsi="Georgia" w:cs="Georgia"/>
          <w:color w:val="2C3A2E"/>
          <w:sz w:val="22"/>
          <w:szCs w:val="22"/>
          <w:lang w:val="nl-NL"/>
        </w:rPr>
        <w:t xml:space="preserve"> werkt anders dan B-Corp. Het is geen label dat je voor jezelf haalt — het is een beoordeling die jouw klant aan je vraagt. Meer dan 100.000 bedrijven wereldwijd zijn al beoordeeld. Als je levert aan een multinational, exporteert naar West-Europa, of werkt voor een grote Nederlandse inkoper, is de kans groot dat </w:t>
      </w:r>
      <w:proofErr w:type="spellStart"/>
      <w:r w:rsidRPr="00B92F03">
        <w:rPr>
          <w:rFonts w:ascii="Georgia" w:eastAsia="Georgia" w:hAnsi="Georgia" w:cs="Georgia"/>
          <w:color w:val="2C3A2E"/>
          <w:sz w:val="22"/>
          <w:szCs w:val="22"/>
          <w:lang w:val="nl-NL"/>
        </w:rPr>
        <w:t>EcoVadis</w:t>
      </w:r>
      <w:proofErr w:type="spellEnd"/>
      <w:r w:rsidRPr="00B92F03">
        <w:rPr>
          <w:rFonts w:ascii="Georgia" w:eastAsia="Georgia" w:hAnsi="Georgia" w:cs="Georgia"/>
          <w:color w:val="2C3A2E"/>
          <w:sz w:val="22"/>
          <w:szCs w:val="22"/>
          <w:lang w:val="nl-NL"/>
        </w:rPr>
        <w:t xml:space="preserve"> vroeg of laat jouw kant opkomt.</w:t>
      </w:r>
    </w:p>
    <w:p w14:paraId="25E1EBFC" w14:textId="77777777" w:rsidR="00FB3E3C" w:rsidRPr="00B92F03" w:rsidRDefault="0018136B">
      <w:pPr>
        <w:spacing w:after="160"/>
        <w:rPr>
          <w:lang w:val="nl-NL"/>
        </w:rPr>
      </w:pPr>
      <w:r w:rsidRPr="00B92F03">
        <w:rPr>
          <w:rFonts w:ascii="Georgia" w:eastAsia="Georgia" w:hAnsi="Georgia" w:cs="Georgia"/>
          <w:color w:val="2C3A2E"/>
          <w:sz w:val="22"/>
          <w:szCs w:val="22"/>
          <w:lang w:val="nl-NL"/>
        </w:rPr>
        <w:t>De beoordeling — op vier thema’s: milieu, sociale omstandigheden en mensenrechten, ethiek en anticorruptie, en duurzame inkoop — gebeurt op basis van documenten. Geen audit ter plaatse. Dat maakt het toegankelijker dan B-</w:t>
      </w:r>
      <w:proofErr w:type="spellStart"/>
      <w:r w:rsidRPr="00B92F03">
        <w:rPr>
          <w:rFonts w:ascii="Georgia" w:eastAsia="Georgia" w:hAnsi="Georgia" w:cs="Georgia"/>
          <w:color w:val="2C3A2E"/>
          <w:sz w:val="22"/>
          <w:szCs w:val="22"/>
          <w:lang w:val="nl-NL"/>
        </w:rPr>
        <w:t>Corp</w:t>
      </w:r>
      <w:proofErr w:type="spellEnd"/>
      <w:r w:rsidRPr="00B92F03">
        <w:rPr>
          <w:rFonts w:ascii="Georgia" w:eastAsia="Georgia" w:hAnsi="Georgia" w:cs="Georgia"/>
          <w:color w:val="2C3A2E"/>
          <w:sz w:val="22"/>
          <w:szCs w:val="22"/>
          <w:lang w:val="nl-NL"/>
        </w:rPr>
        <w:t xml:space="preserve">, maar tegelijkertijd: wie geen beleid op papier heeft, scoort slecht ook als de praktijk prima is. De kosten liggen tussen de €500 en €5.000 voor de initiële beoordeling; de doorlooptijd is 6 tot 12 maanden voor een eerste redelijke score. Cruciaal verschil: </w:t>
      </w:r>
      <w:proofErr w:type="spellStart"/>
      <w:r w:rsidRPr="00B92F03">
        <w:rPr>
          <w:rFonts w:ascii="Georgia" w:eastAsia="Georgia" w:hAnsi="Georgia" w:cs="Georgia"/>
          <w:color w:val="2C3A2E"/>
          <w:sz w:val="22"/>
          <w:szCs w:val="22"/>
          <w:lang w:val="nl-NL"/>
        </w:rPr>
        <w:t>EcoVadis</w:t>
      </w:r>
      <w:proofErr w:type="spellEnd"/>
      <w:r w:rsidRPr="00B92F03">
        <w:rPr>
          <w:rFonts w:ascii="Georgia" w:eastAsia="Georgia" w:hAnsi="Georgia" w:cs="Georgia"/>
          <w:color w:val="2C3A2E"/>
          <w:sz w:val="22"/>
          <w:szCs w:val="22"/>
          <w:lang w:val="nl-NL"/>
        </w:rPr>
        <w:t xml:space="preserve"> is geen eenmalig traject. Het is een jaarlijkse beoordeling die continue verbetering verwacht.</w:t>
      </w:r>
    </w:p>
    <w:p w14:paraId="25E1EBFD" w14:textId="77777777" w:rsidR="00FB3E3C" w:rsidRPr="00B92F03" w:rsidRDefault="0018136B">
      <w:pPr>
        <w:spacing w:before="260" w:after="100"/>
        <w:rPr>
          <w:lang w:val="nl-NL"/>
        </w:rPr>
      </w:pPr>
      <w:r w:rsidRPr="00B92F03">
        <w:rPr>
          <w:rFonts w:ascii="Georgia" w:eastAsia="Georgia" w:hAnsi="Georgia" w:cs="Georgia"/>
          <w:b/>
          <w:bCs/>
          <w:color w:val="1A2B1E"/>
          <w:sz w:val="24"/>
          <w:szCs w:val="24"/>
          <w:lang w:val="nl-NL"/>
        </w:rPr>
        <w:t>MVO Prestatieladder: de Benelux-route naar aanbestedingen</w:t>
      </w:r>
    </w:p>
    <w:p w14:paraId="25E1EBFE" w14:textId="77777777" w:rsidR="00FB3E3C" w:rsidRPr="00B92F03" w:rsidRDefault="0018136B">
      <w:pPr>
        <w:spacing w:after="160"/>
        <w:rPr>
          <w:lang w:val="nl-NL"/>
        </w:rPr>
      </w:pPr>
      <w:r w:rsidRPr="00B92F03">
        <w:rPr>
          <w:rFonts w:ascii="Georgia" w:eastAsia="Georgia" w:hAnsi="Georgia" w:cs="Georgia"/>
          <w:color w:val="2C3A2E"/>
          <w:sz w:val="22"/>
          <w:szCs w:val="22"/>
          <w:lang w:val="nl-NL"/>
        </w:rPr>
        <w:t xml:space="preserve">De MVO Prestatieladder is minder bekend buiten de Benelux, maar voor bedrijven in Nederland en België die werken met overheden, gemeenten, woningcorporaties of grote publieke aannemers is het </w:t>
      </w:r>
      <w:proofErr w:type="spellStart"/>
      <w:r w:rsidRPr="00B92F03">
        <w:rPr>
          <w:rFonts w:ascii="Georgia" w:eastAsia="Georgia" w:hAnsi="Georgia" w:cs="Georgia"/>
          <w:color w:val="2C3A2E"/>
          <w:sz w:val="22"/>
          <w:szCs w:val="22"/>
          <w:lang w:val="nl-NL"/>
        </w:rPr>
        <w:t>het</w:t>
      </w:r>
      <w:proofErr w:type="spellEnd"/>
      <w:r w:rsidRPr="00B92F03">
        <w:rPr>
          <w:rFonts w:ascii="Georgia" w:eastAsia="Georgia" w:hAnsi="Georgia" w:cs="Georgia"/>
          <w:color w:val="2C3A2E"/>
          <w:sz w:val="22"/>
          <w:szCs w:val="22"/>
          <w:lang w:val="nl-NL"/>
        </w:rPr>
        <w:t xml:space="preserve"> meest directe instrument voor aantoonbaar duurzaam ondernemen. De ladder heeft vijf treden. Trede 2 is het meest realistische startpunt voor het MKB en wordt bij aanbestedingen boven €500.000 al als gunningscriterium gebruikt door steeds meer opdrachtgevers. Het voordeel: het bouwt voort op wat de meeste bedrijven al hebben.</w:t>
      </w:r>
    </w:p>
    <w:p w14:paraId="44941FBC" w14:textId="77777777" w:rsidR="00B92F03" w:rsidRPr="00F6352F" w:rsidRDefault="00B92F03">
      <w:pPr>
        <w:pBdr>
          <w:bottom w:val="single" w:sz="4" w:space="0" w:color="D4E0D8"/>
        </w:pBdr>
        <w:spacing w:before="320" w:after="120"/>
        <w:rPr>
          <w:rFonts w:ascii="Georgia" w:eastAsia="Georgia" w:hAnsi="Georgia" w:cs="Georgia"/>
          <w:b/>
          <w:bCs/>
          <w:color w:val="1E6B3C"/>
          <w:sz w:val="28"/>
          <w:szCs w:val="28"/>
          <w:lang w:val="nl-NL"/>
        </w:rPr>
      </w:pPr>
    </w:p>
    <w:p w14:paraId="25E1EC00" w14:textId="2FBB5A1F" w:rsidR="00FB3E3C" w:rsidRDefault="0018136B" w:rsidP="00B92F03">
      <w:pPr>
        <w:pBdr>
          <w:bottom w:val="single" w:sz="4" w:space="0" w:color="D4E0D8"/>
        </w:pBdr>
        <w:spacing w:before="320" w:after="120"/>
      </w:pPr>
      <w:proofErr w:type="spellStart"/>
      <w:r>
        <w:rPr>
          <w:rFonts w:ascii="Georgia" w:eastAsia="Georgia" w:hAnsi="Georgia" w:cs="Georgia"/>
          <w:b/>
          <w:bCs/>
          <w:color w:val="1E6B3C"/>
          <w:sz w:val="28"/>
          <w:szCs w:val="28"/>
        </w:rPr>
        <w:lastRenderedPageBreak/>
        <w:t>Vergelijking</w:t>
      </w:r>
      <w:proofErr w:type="spellEnd"/>
      <w:r>
        <w:rPr>
          <w:rFonts w:ascii="Georgia" w:eastAsia="Georgia" w:hAnsi="Georgia" w:cs="Georgia"/>
          <w:b/>
          <w:bCs/>
          <w:color w:val="1E6B3C"/>
          <w:sz w:val="28"/>
          <w:szCs w:val="28"/>
        </w:rPr>
        <w:t xml:space="preserve"> op </w:t>
      </w:r>
      <w:proofErr w:type="spellStart"/>
      <w:r>
        <w:rPr>
          <w:rFonts w:ascii="Georgia" w:eastAsia="Georgia" w:hAnsi="Georgia" w:cs="Georgia"/>
          <w:b/>
          <w:bCs/>
          <w:color w:val="1E6B3C"/>
          <w:sz w:val="28"/>
          <w:szCs w:val="28"/>
        </w:rPr>
        <w:t>hoofdlijnen</w:t>
      </w:r>
      <w:proofErr w:type="spellEnd"/>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95"/>
        <w:gridCol w:w="2359"/>
        <w:gridCol w:w="2359"/>
        <w:gridCol w:w="2359"/>
      </w:tblGrid>
      <w:tr w:rsidR="00FB3E3C" w14:paraId="25E1EC05" w14:textId="0528A265">
        <w:tc>
          <w:tcPr>
            <w:tcW w:w="1995" w:type="dxa"/>
            <w:tcBorders>
              <w:top w:val="none" w:sz="0" w:space="0" w:color="FFFFFF"/>
              <w:left w:val="none" w:sz="0" w:space="0" w:color="FFFFFF"/>
              <w:bottom w:val="none" w:sz="0" w:space="0" w:color="FFFFFF"/>
              <w:right w:val="none" w:sz="0" w:space="0" w:color="FFFFFF"/>
            </w:tcBorders>
            <w:shd w:val="clear" w:color="auto" w:fill="1A2B1E"/>
            <w:tcMar>
              <w:top w:w="80" w:type="dxa"/>
              <w:left w:w="100" w:type="dxa"/>
              <w:bottom w:w="80" w:type="dxa"/>
              <w:right w:w="100" w:type="dxa"/>
            </w:tcMar>
          </w:tcPr>
          <w:p w14:paraId="25E1EC01" w14:textId="77777777" w:rsidR="00FB3E3C" w:rsidRDefault="00FB3E3C"/>
        </w:tc>
        <w:tc>
          <w:tcPr>
            <w:tcW w:w="2358" w:type="dxa"/>
            <w:tcBorders>
              <w:top w:val="none" w:sz="0" w:space="0" w:color="FFFFFF"/>
              <w:left w:val="none" w:sz="0" w:space="0" w:color="FFFFFF"/>
              <w:bottom w:val="none" w:sz="0" w:space="0" w:color="FFFFFF"/>
              <w:right w:val="none" w:sz="0" w:space="0" w:color="FFFFFF"/>
            </w:tcBorders>
            <w:shd w:val="clear" w:color="auto" w:fill="1A2B1E"/>
            <w:tcMar>
              <w:top w:w="80" w:type="dxa"/>
              <w:left w:w="100" w:type="dxa"/>
              <w:bottom w:w="80" w:type="dxa"/>
              <w:right w:w="100" w:type="dxa"/>
            </w:tcMar>
          </w:tcPr>
          <w:p w14:paraId="25E1EC02" w14:textId="77777777" w:rsidR="00FB3E3C" w:rsidRDefault="0018136B">
            <w:r>
              <w:rPr>
                <w:rFonts w:ascii="Arial" w:eastAsia="Arial" w:hAnsi="Arial" w:cs="Arial"/>
                <w:b/>
                <w:bCs/>
                <w:color w:val="FFFFFF"/>
                <w:sz w:val="18"/>
                <w:szCs w:val="18"/>
              </w:rPr>
              <w:t>B-Corp</w:t>
            </w:r>
          </w:p>
        </w:tc>
        <w:tc>
          <w:tcPr>
            <w:tcW w:w="2358" w:type="dxa"/>
            <w:tcBorders>
              <w:top w:val="none" w:sz="0" w:space="0" w:color="FFFFFF"/>
              <w:left w:val="none" w:sz="0" w:space="0" w:color="FFFFFF"/>
              <w:bottom w:val="none" w:sz="0" w:space="0" w:color="FFFFFF"/>
              <w:right w:val="none" w:sz="0" w:space="0" w:color="FFFFFF"/>
            </w:tcBorders>
            <w:shd w:val="clear" w:color="auto" w:fill="1A2B1E"/>
            <w:tcMar>
              <w:top w:w="80" w:type="dxa"/>
              <w:left w:w="100" w:type="dxa"/>
              <w:bottom w:w="80" w:type="dxa"/>
              <w:right w:w="100" w:type="dxa"/>
            </w:tcMar>
          </w:tcPr>
          <w:p w14:paraId="25E1EC03" w14:textId="77777777" w:rsidR="00FB3E3C" w:rsidRDefault="0018136B">
            <w:proofErr w:type="spellStart"/>
            <w:r>
              <w:rPr>
                <w:rFonts w:ascii="Arial" w:eastAsia="Arial" w:hAnsi="Arial" w:cs="Arial"/>
                <w:b/>
                <w:bCs/>
                <w:color w:val="FFFFFF"/>
                <w:sz w:val="18"/>
                <w:szCs w:val="18"/>
              </w:rPr>
              <w:t>EcoVadis</w:t>
            </w:r>
            <w:proofErr w:type="spellEnd"/>
          </w:p>
        </w:tc>
        <w:tc>
          <w:tcPr>
            <w:tcW w:w="2358" w:type="dxa"/>
            <w:tcBorders>
              <w:top w:val="none" w:sz="0" w:space="0" w:color="FFFFFF"/>
              <w:left w:val="none" w:sz="0" w:space="0" w:color="FFFFFF"/>
              <w:bottom w:val="none" w:sz="0" w:space="0" w:color="FFFFFF"/>
              <w:right w:val="none" w:sz="0" w:space="0" w:color="FFFFFF"/>
            </w:tcBorders>
            <w:shd w:val="clear" w:color="auto" w:fill="1A2B1E"/>
            <w:tcMar>
              <w:top w:w="80" w:type="dxa"/>
              <w:left w:w="100" w:type="dxa"/>
              <w:bottom w:w="80" w:type="dxa"/>
              <w:right w:w="100" w:type="dxa"/>
            </w:tcMar>
          </w:tcPr>
          <w:p w14:paraId="25E1EC04" w14:textId="77777777" w:rsidR="00FB3E3C" w:rsidRDefault="0018136B">
            <w:r>
              <w:rPr>
                <w:rFonts w:ascii="Arial" w:eastAsia="Arial" w:hAnsi="Arial" w:cs="Arial"/>
                <w:b/>
                <w:bCs/>
                <w:color w:val="FFFFFF"/>
                <w:sz w:val="18"/>
                <w:szCs w:val="18"/>
              </w:rPr>
              <w:t xml:space="preserve">MVO </w:t>
            </w:r>
            <w:proofErr w:type="spellStart"/>
            <w:r>
              <w:rPr>
                <w:rFonts w:ascii="Arial" w:eastAsia="Arial" w:hAnsi="Arial" w:cs="Arial"/>
                <w:b/>
                <w:bCs/>
                <w:color w:val="FFFFFF"/>
                <w:sz w:val="18"/>
                <w:szCs w:val="18"/>
              </w:rPr>
              <w:t>Prestatieladder</w:t>
            </w:r>
            <w:proofErr w:type="spellEnd"/>
          </w:p>
        </w:tc>
      </w:tr>
      <w:tr w:rsidR="00FB3E3C" w14:paraId="25E1EC0A" w14:textId="7B7FF26B">
        <w:tc>
          <w:tcPr>
            <w:tcW w:w="1995" w:type="dxa"/>
            <w:tcBorders>
              <w:top w:val="none" w:sz="0" w:space="0" w:color="FFFFFF"/>
              <w:left w:val="none" w:sz="0" w:space="0" w:color="FFFFFF"/>
              <w:bottom w:val="single" w:sz="2" w:space="0" w:color="D4E0D8"/>
              <w:right w:val="none" w:sz="0" w:space="0" w:color="FFFFFF"/>
            </w:tcBorders>
            <w:shd w:val="clear" w:color="auto" w:fill="EAF4EE"/>
            <w:tcMar>
              <w:top w:w="80" w:type="dxa"/>
              <w:left w:w="100" w:type="dxa"/>
              <w:bottom w:w="80" w:type="dxa"/>
              <w:right w:w="100" w:type="dxa"/>
            </w:tcMar>
          </w:tcPr>
          <w:p w14:paraId="25E1EC06" w14:textId="77777777" w:rsidR="00FB3E3C" w:rsidRDefault="0018136B">
            <w:r>
              <w:rPr>
                <w:rFonts w:ascii="Arial" w:eastAsia="Arial" w:hAnsi="Arial" w:cs="Arial"/>
                <w:b/>
                <w:bCs/>
                <w:color w:val="5A6B5E"/>
                <w:sz w:val="18"/>
                <w:szCs w:val="18"/>
              </w:rPr>
              <w:t xml:space="preserve">Wie </w:t>
            </w:r>
            <w:proofErr w:type="spellStart"/>
            <w:r>
              <w:rPr>
                <w:rFonts w:ascii="Arial" w:eastAsia="Arial" w:hAnsi="Arial" w:cs="Arial"/>
                <w:b/>
                <w:bCs/>
                <w:color w:val="5A6B5E"/>
                <w:sz w:val="18"/>
                <w:szCs w:val="18"/>
              </w:rPr>
              <w:t>vraagt</w:t>
            </w:r>
            <w:proofErr w:type="spellEnd"/>
            <w:r>
              <w:rPr>
                <w:rFonts w:ascii="Arial" w:eastAsia="Arial" w:hAnsi="Arial" w:cs="Arial"/>
                <w:b/>
                <w:bCs/>
                <w:color w:val="5A6B5E"/>
                <w:sz w:val="18"/>
                <w:szCs w:val="18"/>
              </w:rPr>
              <w:t xml:space="preserve"> </w:t>
            </w:r>
            <w:proofErr w:type="spellStart"/>
            <w:r>
              <w:rPr>
                <w:rFonts w:ascii="Arial" w:eastAsia="Arial" w:hAnsi="Arial" w:cs="Arial"/>
                <w:b/>
                <w:bCs/>
                <w:color w:val="5A6B5E"/>
                <w:sz w:val="18"/>
                <w:szCs w:val="18"/>
              </w:rPr>
              <w:t>erom</w:t>
            </w:r>
            <w:proofErr w:type="spellEnd"/>
            <w:r>
              <w:rPr>
                <w:rFonts w:ascii="Arial" w:eastAsia="Arial" w:hAnsi="Arial" w:cs="Arial"/>
                <w:b/>
                <w:bCs/>
                <w:color w:val="5A6B5E"/>
                <w:sz w:val="18"/>
                <w:szCs w:val="18"/>
              </w:rPr>
              <w:t>?</w:t>
            </w:r>
          </w:p>
        </w:tc>
        <w:tc>
          <w:tcPr>
            <w:tcW w:w="2358" w:type="dxa"/>
            <w:tcBorders>
              <w:top w:val="none" w:sz="0" w:space="0" w:color="FFFFFF"/>
              <w:left w:val="none" w:sz="0" w:space="0" w:color="FFFFFF"/>
              <w:bottom w:val="single" w:sz="2" w:space="0" w:color="D4E0D8"/>
              <w:right w:val="none" w:sz="0" w:space="0" w:color="FFFFFF"/>
            </w:tcBorders>
            <w:shd w:val="clear" w:color="auto" w:fill="EAF4EE"/>
            <w:tcMar>
              <w:top w:w="80" w:type="dxa"/>
              <w:left w:w="100" w:type="dxa"/>
              <w:bottom w:w="80" w:type="dxa"/>
              <w:right w:w="100" w:type="dxa"/>
            </w:tcMar>
          </w:tcPr>
          <w:p w14:paraId="25E1EC07" w14:textId="77777777" w:rsidR="00FB3E3C" w:rsidRPr="00B92F03" w:rsidRDefault="0018136B">
            <w:pPr>
              <w:rPr>
                <w:lang w:val="nl-NL"/>
              </w:rPr>
            </w:pPr>
            <w:r w:rsidRPr="00B92F03">
              <w:rPr>
                <w:rFonts w:ascii="Georgia" w:eastAsia="Georgia" w:hAnsi="Georgia" w:cs="Georgia"/>
                <w:color w:val="2C3A2E"/>
                <w:sz w:val="18"/>
                <w:szCs w:val="18"/>
                <w:lang w:val="nl-NL"/>
              </w:rPr>
              <w:t xml:space="preserve">Eigen </w:t>
            </w:r>
            <w:proofErr w:type="gramStart"/>
            <w:r w:rsidRPr="00B92F03">
              <w:rPr>
                <w:rFonts w:ascii="Georgia" w:eastAsia="Georgia" w:hAnsi="Georgia" w:cs="Georgia"/>
                <w:color w:val="2C3A2E"/>
                <w:sz w:val="18"/>
                <w:szCs w:val="18"/>
                <w:lang w:val="nl-NL"/>
              </w:rPr>
              <w:t>keuze /</w:t>
            </w:r>
            <w:proofErr w:type="gramEnd"/>
            <w:r w:rsidRPr="00B92F03">
              <w:rPr>
                <w:rFonts w:ascii="Georgia" w:eastAsia="Georgia" w:hAnsi="Georgia" w:cs="Georgia"/>
                <w:color w:val="2C3A2E"/>
                <w:sz w:val="18"/>
                <w:szCs w:val="18"/>
                <w:lang w:val="nl-NL"/>
              </w:rPr>
              <w:t xml:space="preserve"> impact-gedreven klanten</w:t>
            </w:r>
          </w:p>
        </w:tc>
        <w:tc>
          <w:tcPr>
            <w:tcW w:w="2358" w:type="dxa"/>
            <w:tcBorders>
              <w:top w:val="none" w:sz="0" w:space="0" w:color="FFFFFF"/>
              <w:left w:val="none" w:sz="0" w:space="0" w:color="FFFFFF"/>
              <w:bottom w:val="single" w:sz="2" w:space="0" w:color="D4E0D8"/>
              <w:right w:val="none" w:sz="0" w:space="0" w:color="FFFFFF"/>
            </w:tcBorders>
            <w:shd w:val="clear" w:color="auto" w:fill="EAF4EE"/>
            <w:tcMar>
              <w:top w:w="80" w:type="dxa"/>
              <w:left w:w="100" w:type="dxa"/>
              <w:bottom w:w="80" w:type="dxa"/>
              <w:right w:w="100" w:type="dxa"/>
            </w:tcMar>
          </w:tcPr>
          <w:p w14:paraId="25E1EC08" w14:textId="77777777" w:rsidR="00FB3E3C" w:rsidRDefault="0018136B">
            <w:r>
              <w:rPr>
                <w:rFonts w:ascii="Georgia" w:eastAsia="Georgia" w:hAnsi="Georgia" w:cs="Georgia"/>
                <w:color w:val="2C3A2E"/>
                <w:sz w:val="18"/>
                <w:szCs w:val="18"/>
              </w:rPr>
              <w:t xml:space="preserve">Grote </w:t>
            </w:r>
            <w:proofErr w:type="spellStart"/>
            <w:r>
              <w:rPr>
                <w:rFonts w:ascii="Georgia" w:eastAsia="Georgia" w:hAnsi="Georgia" w:cs="Georgia"/>
                <w:color w:val="2C3A2E"/>
                <w:sz w:val="18"/>
                <w:szCs w:val="18"/>
              </w:rPr>
              <w:t>afnemers</w:t>
            </w:r>
            <w:proofErr w:type="spellEnd"/>
            <w:r>
              <w:rPr>
                <w:rFonts w:ascii="Georgia" w:eastAsia="Georgia" w:hAnsi="Georgia" w:cs="Georgia"/>
                <w:color w:val="2C3A2E"/>
                <w:sz w:val="18"/>
                <w:szCs w:val="18"/>
              </w:rPr>
              <w:t xml:space="preserve"> </w:t>
            </w:r>
            <w:proofErr w:type="spellStart"/>
            <w:r>
              <w:rPr>
                <w:rFonts w:ascii="Georgia" w:eastAsia="Georgia" w:hAnsi="Georgia" w:cs="Georgia"/>
                <w:color w:val="2C3A2E"/>
                <w:sz w:val="18"/>
                <w:szCs w:val="18"/>
              </w:rPr>
              <w:t>en</w:t>
            </w:r>
            <w:proofErr w:type="spellEnd"/>
            <w:r>
              <w:rPr>
                <w:rFonts w:ascii="Georgia" w:eastAsia="Georgia" w:hAnsi="Georgia" w:cs="Georgia"/>
                <w:color w:val="2C3A2E"/>
                <w:sz w:val="18"/>
                <w:szCs w:val="18"/>
              </w:rPr>
              <w:t xml:space="preserve"> multinationals</w:t>
            </w:r>
          </w:p>
        </w:tc>
        <w:tc>
          <w:tcPr>
            <w:tcW w:w="2358" w:type="dxa"/>
            <w:tcBorders>
              <w:top w:val="none" w:sz="0" w:space="0" w:color="FFFFFF"/>
              <w:left w:val="none" w:sz="0" w:space="0" w:color="FFFFFF"/>
              <w:bottom w:val="single" w:sz="2" w:space="0" w:color="D4E0D8"/>
              <w:right w:val="none" w:sz="0" w:space="0" w:color="FFFFFF"/>
            </w:tcBorders>
            <w:shd w:val="clear" w:color="auto" w:fill="EAF4EE"/>
            <w:tcMar>
              <w:top w:w="80" w:type="dxa"/>
              <w:left w:w="100" w:type="dxa"/>
              <w:bottom w:w="80" w:type="dxa"/>
              <w:right w:w="100" w:type="dxa"/>
            </w:tcMar>
          </w:tcPr>
          <w:p w14:paraId="25E1EC09" w14:textId="77777777" w:rsidR="00FB3E3C" w:rsidRDefault="0018136B">
            <w:proofErr w:type="spellStart"/>
            <w:r>
              <w:rPr>
                <w:rFonts w:ascii="Georgia" w:eastAsia="Georgia" w:hAnsi="Georgia" w:cs="Georgia"/>
                <w:color w:val="2C3A2E"/>
                <w:sz w:val="18"/>
                <w:szCs w:val="18"/>
              </w:rPr>
              <w:t>Overheden</w:t>
            </w:r>
            <w:proofErr w:type="spellEnd"/>
            <w:r>
              <w:rPr>
                <w:rFonts w:ascii="Georgia" w:eastAsia="Georgia" w:hAnsi="Georgia" w:cs="Georgia"/>
                <w:color w:val="2C3A2E"/>
                <w:sz w:val="18"/>
                <w:szCs w:val="18"/>
              </w:rPr>
              <w:t xml:space="preserve"> </w:t>
            </w:r>
            <w:proofErr w:type="spellStart"/>
            <w:r>
              <w:rPr>
                <w:rFonts w:ascii="Georgia" w:eastAsia="Georgia" w:hAnsi="Georgia" w:cs="Georgia"/>
                <w:color w:val="2C3A2E"/>
                <w:sz w:val="18"/>
                <w:szCs w:val="18"/>
              </w:rPr>
              <w:t>en</w:t>
            </w:r>
            <w:proofErr w:type="spellEnd"/>
            <w:r>
              <w:rPr>
                <w:rFonts w:ascii="Georgia" w:eastAsia="Georgia" w:hAnsi="Georgia" w:cs="Georgia"/>
                <w:color w:val="2C3A2E"/>
                <w:sz w:val="18"/>
                <w:szCs w:val="18"/>
              </w:rPr>
              <w:t xml:space="preserve"> </w:t>
            </w:r>
            <w:proofErr w:type="spellStart"/>
            <w:r>
              <w:rPr>
                <w:rFonts w:ascii="Georgia" w:eastAsia="Georgia" w:hAnsi="Georgia" w:cs="Georgia"/>
                <w:color w:val="2C3A2E"/>
                <w:sz w:val="18"/>
                <w:szCs w:val="18"/>
              </w:rPr>
              <w:t>publieke</w:t>
            </w:r>
            <w:proofErr w:type="spellEnd"/>
            <w:r>
              <w:rPr>
                <w:rFonts w:ascii="Georgia" w:eastAsia="Georgia" w:hAnsi="Georgia" w:cs="Georgia"/>
                <w:color w:val="2C3A2E"/>
                <w:sz w:val="18"/>
                <w:szCs w:val="18"/>
              </w:rPr>
              <w:t xml:space="preserve"> </w:t>
            </w:r>
            <w:proofErr w:type="spellStart"/>
            <w:r>
              <w:rPr>
                <w:rFonts w:ascii="Georgia" w:eastAsia="Georgia" w:hAnsi="Georgia" w:cs="Georgia"/>
                <w:color w:val="2C3A2E"/>
                <w:sz w:val="18"/>
                <w:szCs w:val="18"/>
              </w:rPr>
              <w:t>aannemers</w:t>
            </w:r>
            <w:proofErr w:type="spellEnd"/>
          </w:p>
        </w:tc>
      </w:tr>
      <w:tr w:rsidR="00FB3E3C" w14:paraId="25E1EC0F" w14:textId="4EC307E0">
        <w:tc>
          <w:tcPr>
            <w:tcW w:w="1995" w:type="dxa"/>
            <w:tcBorders>
              <w:top w:val="none" w:sz="0" w:space="0" w:color="FFFFFF"/>
              <w:left w:val="none" w:sz="0" w:space="0" w:color="FFFFFF"/>
              <w:bottom w:val="single" w:sz="2" w:space="0" w:color="D4E0D8"/>
              <w:right w:val="none" w:sz="0" w:space="0" w:color="FFFFFF"/>
            </w:tcBorders>
            <w:shd w:val="clear" w:color="auto" w:fill="FFFFFF"/>
            <w:tcMar>
              <w:top w:w="80" w:type="dxa"/>
              <w:left w:w="100" w:type="dxa"/>
              <w:bottom w:w="80" w:type="dxa"/>
              <w:right w:w="100" w:type="dxa"/>
            </w:tcMar>
          </w:tcPr>
          <w:p w14:paraId="25E1EC0B" w14:textId="77777777" w:rsidR="00FB3E3C" w:rsidRDefault="0018136B">
            <w:proofErr w:type="spellStart"/>
            <w:r>
              <w:rPr>
                <w:rFonts w:ascii="Arial" w:eastAsia="Arial" w:hAnsi="Arial" w:cs="Arial"/>
                <w:b/>
                <w:bCs/>
                <w:color w:val="5A6B5E"/>
                <w:sz w:val="18"/>
                <w:szCs w:val="18"/>
              </w:rPr>
              <w:t>Doorlooptijd</w:t>
            </w:r>
            <w:proofErr w:type="spellEnd"/>
          </w:p>
        </w:tc>
        <w:tc>
          <w:tcPr>
            <w:tcW w:w="2358" w:type="dxa"/>
            <w:tcBorders>
              <w:top w:val="none" w:sz="0" w:space="0" w:color="FFFFFF"/>
              <w:left w:val="none" w:sz="0" w:space="0" w:color="FFFFFF"/>
              <w:bottom w:val="single" w:sz="2" w:space="0" w:color="D4E0D8"/>
              <w:right w:val="none" w:sz="0" w:space="0" w:color="FFFFFF"/>
            </w:tcBorders>
            <w:shd w:val="clear" w:color="auto" w:fill="FFFFFF"/>
            <w:tcMar>
              <w:top w:w="80" w:type="dxa"/>
              <w:left w:w="100" w:type="dxa"/>
              <w:bottom w:w="80" w:type="dxa"/>
              <w:right w:w="100" w:type="dxa"/>
            </w:tcMar>
          </w:tcPr>
          <w:p w14:paraId="25E1EC0C" w14:textId="77777777" w:rsidR="00FB3E3C" w:rsidRDefault="0018136B">
            <w:r>
              <w:rPr>
                <w:rFonts w:ascii="Georgia" w:eastAsia="Georgia" w:hAnsi="Georgia" w:cs="Georgia"/>
                <w:color w:val="2C3A2E"/>
                <w:sz w:val="18"/>
                <w:szCs w:val="18"/>
              </w:rPr>
              <w:t xml:space="preserve">12–24 </w:t>
            </w:r>
            <w:proofErr w:type="spellStart"/>
            <w:r>
              <w:rPr>
                <w:rFonts w:ascii="Georgia" w:eastAsia="Georgia" w:hAnsi="Georgia" w:cs="Georgia"/>
                <w:color w:val="2C3A2E"/>
                <w:sz w:val="18"/>
                <w:szCs w:val="18"/>
              </w:rPr>
              <w:t>maanden</w:t>
            </w:r>
            <w:proofErr w:type="spellEnd"/>
          </w:p>
        </w:tc>
        <w:tc>
          <w:tcPr>
            <w:tcW w:w="2358" w:type="dxa"/>
            <w:tcBorders>
              <w:top w:val="none" w:sz="0" w:space="0" w:color="FFFFFF"/>
              <w:left w:val="none" w:sz="0" w:space="0" w:color="FFFFFF"/>
              <w:bottom w:val="single" w:sz="2" w:space="0" w:color="D4E0D8"/>
              <w:right w:val="none" w:sz="0" w:space="0" w:color="FFFFFF"/>
            </w:tcBorders>
            <w:shd w:val="clear" w:color="auto" w:fill="FFFFFF"/>
            <w:tcMar>
              <w:top w:w="80" w:type="dxa"/>
              <w:left w:w="100" w:type="dxa"/>
              <w:bottom w:w="80" w:type="dxa"/>
              <w:right w:w="100" w:type="dxa"/>
            </w:tcMar>
          </w:tcPr>
          <w:p w14:paraId="25E1EC0D" w14:textId="77777777" w:rsidR="00FB3E3C" w:rsidRDefault="0018136B">
            <w:r>
              <w:rPr>
                <w:rFonts w:ascii="Georgia" w:eastAsia="Georgia" w:hAnsi="Georgia" w:cs="Georgia"/>
                <w:color w:val="2C3A2E"/>
                <w:sz w:val="18"/>
                <w:szCs w:val="18"/>
              </w:rPr>
              <w:t xml:space="preserve">6–12 </w:t>
            </w:r>
            <w:proofErr w:type="spellStart"/>
            <w:r>
              <w:rPr>
                <w:rFonts w:ascii="Georgia" w:eastAsia="Georgia" w:hAnsi="Georgia" w:cs="Georgia"/>
                <w:color w:val="2C3A2E"/>
                <w:sz w:val="18"/>
                <w:szCs w:val="18"/>
              </w:rPr>
              <w:t>maanden</w:t>
            </w:r>
            <w:proofErr w:type="spellEnd"/>
          </w:p>
        </w:tc>
        <w:tc>
          <w:tcPr>
            <w:tcW w:w="2358" w:type="dxa"/>
            <w:tcBorders>
              <w:top w:val="none" w:sz="0" w:space="0" w:color="FFFFFF"/>
              <w:left w:val="none" w:sz="0" w:space="0" w:color="FFFFFF"/>
              <w:bottom w:val="single" w:sz="2" w:space="0" w:color="D4E0D8"/>
              <w:right w:val="none" w:sz="0" w:space="0" w:color="FFFFFF"/>
            </w:tcBorders>
            <w:shd w:val="clear" w:color="auto" w:fill="FFFFFF"/>
            <w:tcMar>
              <w:top w:w="80" w:type="dxa"/>
              <w:left w:w="100" w:type="dxa"/>
              <w:bottom w:w="80" w:type="dxa"/>
              <w:right w:w="100" w:type="dxa"/>
            </w:tcMar>
          </w:tcPr>
          <w:p w14:paraId="25E1EC0E" w14:textId="77777777" w:rsidR="00FB3E3C" w:rsidRDefault="0018136B">
            <w:r>
              <w:rPr>
                <w:rFonts w:ascii="Georgia" w:eastAsia="Georgia" w:hAnsi="Georgia" w:cs="Georgia"/>
                <w:color w:val="2C3A2E"/>
                <w:sz w:val="18"/>
                <w:szCs w:val="18"/>
              </w:rPr>
              <w:t xml:space="preserve">6–18 </w:t>
            </w:r>
            <w:proofErr w:type="spellStart"/>
            <w:r>
              <w:rPr>
                <w:rFonts w:ascii="Georgia" w:eastAsia="Georgia" w:hAnsi="Georgia" w:cs="Georgia"/>
                <w:color w:val="2C3A2E"/>
                <w:sz w:val="18"/>
                <w:szCs w:val="18"/>
              </w:rPr>
              <w:t>maanden</w:t>
            </w:r>
            <w:proofErr w:type="spellEnd"/>
          </w:p>
        </w:tc>
      </w:tr>
      <w:tr w:rsidR="00FB3E3C" w14:paraId="25E1EC14" w14:textId="150F49F9">
        <w:tc>
          <w:tcPr>
            <w:tcW w:w="1995" w:type="dxa"/>
            <w:tcBorders>
              <w:top w:val="none" w:sz="0" w:space="0" w:color="FFFFFF"/>
              <w:left w:val="none" w:sz="0" w:space="0" w:color="FFFFFF"/>
              <w:bottom w:val="single" w:sz="2" w:space="0" w:color="D4E0D8"/>
              <w:right w:val="none" w:sz="0" w:space="0" w:color="FFFFFF"/>
            </w:tcBorders>
            <w:shd w:val="clear" w:color="auto" w:fill="EAF4EE"/>
            <w:tcMar>
              <w:top w:w="80" w:type="dxa"/>
              <w:left w:w="100" w:type="dxa"/>
              <w:bottom w:w="80" w:type="dxa"/>
              <w:right w:w="100" w:type="dxa"/>
            </w:tcMar>
          </w:tcPr>
          <w:p w14:paraId="25E1EC10" w14:textId="77777777" w:rsidR="00FB3E3C" w:rsidRDefault="0018136B">
            <w:r>
              <w:rPr>
                <w:rFonts w:ascii="Arial" w:eastAsia="Arial" w:hAnsi="Arial" w:cs="Arial"/>
                <w:b/>
                <w:bCs/>
                <w:color w:val="5A6B5E"/>
                <w:sz w:val="18"/>
                <w:szCs w:val="18"/>
              </w:rPr>
              <w:t>Kosten (</w:t>
            </w:r>
            <w:proofErr w:type="spellStart"/>
            <w:r>
              <w:rPr>
                <w:rFonts w:ascii="Arial" w:eastAsia="Arial" w:hAnsi="Arial" w:cs="Arial"/>
                <w:b/>
                <w:bCs/>
                <w:color w:val="5A6B5E"/>
                <w:sz w:val="18"/>
                <w:szCs w:val="18"/>
              </w:rPr>
              <w:t>indicatief</w:t>
            </w:r>
            <w:proofErr w:type="spellEnd"/>
            <w:r>
              <w:rPr>
                <w:rFonts w:ascii="Arial" w:eastAsia="Arial" w:hAnsi="Arial" w:cs="Arial"/>
                <w:b/>
                <w:bCs/>
                <w:color w:val="5A6B5E"/>
                <w:sz w:val="18"/>
                <w:szCs w:val="18"/>
              </w:rPr>
              <w:t>)</w:t>
            </w:r>
          </w:p>
        </w:tc>
        <w:tc>
          <w:tcPr>
            <w:tcW w:w="2358" w:type="dxa"/>
            <w:tcBorders>
              <w:top w:val="none" w:sz="0" w:space="0" w:color="FFFFFF"/>
              <w:left w:val="none" w:sz="0" w:space="0" w:color="FFFFFF"/>
              <w:bottom w:val="single" w:sz="2" w:space="0" w:color="D4E0D8"/>
              <w:right w:val="none" w:sz="0" w:space="0" w:color="FFFFFF"/>
            </w:tcBorders>
            <w:shd w:val="clear" w:color="auto" w:fill="EAF4EE"/>
            <w:tcMar>
              <w:top w:w="80" w:type="dxa"/>
              <w:left w:w="100" w:type="dxa"/>
              <w:bottom w:w="80" w:type="dxa"/>
              <w:right w:w="100" w:type="dxa"/>
            </w:tcMar>
          </w:tcPr>
          <w:p w14:paraId="25E1EC11" w14:textId="77777777" w:rsidR="00FB3E3C" w:rsidRDefault="0018136B">
            <w:r>
              <w:rPr>
                <w:rFonts w:ascii="Georgia" w:eastAsia="Georgia" w:hAnsi="Georgia" w:cs="Georgia"/>
                <w:color w:val="2C3A2E"/>
                <w:sz w:val="18"/>
                <w:szCs w:val="18"/>
              </w:rPr>
              <w:t>€2.000–€10.000+</w:t>
            </w:r>
          </w:p>
        </w:tc>
        <w:tc>
          <w:tcPr>
            <w:tcW w:w="2358" w:type="dxa"/>
            <w:tcBorders>
              <w:top w:val="none" w:sz="0" w:space="0" w:color="FFFFFF"/>
              <w:left w:val="none" w:sz="0" w:space="0" w:color="FFFFFF"/>
              <w:bottom w:val="single" w:sz="2" w:space="0" w:color="D4E0D8"/>
              <w:right w:val="none" w:sz="0" w:space="0" w:color="FFFFFF"/>
            </w:tcBorders>
            <w:shd w:val="clear" w:color="auto" w:fill="EAF4EE"/>
            <w:tcMar>
              <w:top w:w="80" w:type="dxa"/>
              <w:left w:w="100" w:type="dxa"/>
              <w:bottom w:w="80" w:type="dxa"/>
              <w:right w:w="100" w:type="dxa"/>
            </w:tcMar>
          </w:tcPr>
          <w:p w14:paraId="25E1EC12" w14:textId="77777777" w:rsidR="00FB3E3C" w:rsidRDefault="0018136B">
            <w:r>
              <w:rPr>
                <w:rFonts w:ascii="Georgia" w:eastAsia="Georgia" w:hAnsi="Georgia" w:cs="Georgia"/>
                <w:color w:val="2C3A2E"/>
                <w:sz w:val="18"/>
                <w:szCs w:val="18"/>
              </w:rPr>
              <w:t>€500–€5.000</w:t>
            </w:r>
          </w:p>
        </w:tc>
        <w:tc>
          <w:tcPr>
            <w:tcW w:w="2358" w:type="dxa"/>
            <w:tcBorders>
              <w:top w:val="none" w:sz="0" w:space="0" w:color="FFFFFF"/>
              <w:left w:val="none" w:sz="0" w:space="0" w:color="FFFFFF"/>
              <w:bottom w:val="single" w:sz="2" w:space="0" w:color="D4E0D8"/>
              <w:right w:val="none" w:sz="0" w:space="0" w:color="FFFFFF"/>
            </w:tcBorders>
            <w:shd w:val="clear" w:color="auto" w:fill="EAF4EE"/>
            <w:tcMar>
              <w:top w:w="80" w:type="dxa"/>
              <w:left w:w="100" w:type="dxa"/>
              <w:bottom w:w="80" w:type="dxa"/>
              <w:right w:w="100" w:type="dxa"/>
            </w:tcMar>
          </w:tcPr>
          <w:p w14:paraId="25E1EC13" w14:textId="77777777" w:rsidR="00FB3E3C" w:rsidRDefault="0018136B">
            <w:r>
              <w:rPr>
                <w:rFonts w:ascii="Georgia" w:eastAsia="Georgia" w:hAnsi="Georgia" w:cs="Georgia"/>
                <w:color w:val="2C3A2E"/>
                <w:sz w:val="18"/>
                <w:szCs w:val="18"/>
              </w:rPr>
              <w:t>€1.500–€6.000</w:t>
            </w:r>
          </w:p>
        </w:tc>
      </w:tr>
      <w:tr w:rsidR="00FB3E3C" w14:paraId="25E1EC19" w14:textId="008D0203">
        <w:tc>
          <w:tcPr>
            <w:tcW w:w="1995" w:type="dxa"/>
            <w:tcBorders>
              <w:top w:val="none" w:sz="0" w:space="0" w:color="FFFFFF"/>
              <w:left w:val="none" w:sz="0" w:space="0" w:color="FFFFFF"/>
              <w:bottom w:val="single" w:sz="2" w:space="0" w:color="D4E0D8"/>
              <w:right w:val="none" w:sz="0" w:space="0" w:color="FFFFFF"/>
            </w:tcBorders>
            <w:shd w:val="clear" w:color="auto" w:fill="FFFFFF"/>
            <w:tcMar>
              <w:top w:w="80" w:type="dxa"/>
              <w:left w:w="100" w:type="dxa"/>
              <w:bottom w:w="80" w:type="dxa"/>
              <w:right w:w="100" w:type="dxa"/>
            </w:tcMar>
          </w:tcPr>
          <w:p w14:paraId="25E1EC15" w14:textId="77777777" w:rsidR="00FB3E3C" w:rsidRDefault="0018136B">
            <w:proofErr w:type="spellStart"/>
            <w:r>
              <w:rPr>
                <w:rFonts w:ascii="Arial" w:eastAsia="Arial" w:hAnsi="Arial" w:cs="Arial"/>
                <w:b/>
                <w:bCs/>
                <w:color w:val="5A6B5E"/>
                <w:sz w:val="18"/>
                <w:szCs w:val="18"/>
              </w:rPr>
              <w:t>Grootste</w:t>
            </w:r>
            <w:proofErr w:type="spellEnd"/>
            <w:r>
              <w:rPr>
                <w:rFonts w:ascii="Arial" w:eastAsia="Arial" w:hAnsi="Arial" w:cs="Arial"/>
                <w:b/>
                <w:bCs/>
                <w:color w:val="5A6B5E"/>
                <w:sz w:val="18"/>
                <w:szCs w:val="18"/>
              </w:rPr>
              <w:t xml:space="preserve"> </w:t>
            </w:r>
            <w:proofErr w:type="spellStart"/>
            <w:r>
              <w:rPr>
                <w:rFonts w:ascii="Arial" w:eastAsia="Arial" w:hAnsi="Arial" w:cs="Arial"/>
                <w:b/>
                <w:bCs/>
                <w:color w:val="5A6B5E"/>
                <w:sz w:val="18"/>
                <w:szCs w:val="18"/>
              </w:rPr>
              <w:t>valkuil</w:t>
            </w:r>
            <w:proofErr w:type="spellEnd"/>
          </w:p>
        </w:tc>
        <w:tc>
          <w:tcPr>
            <w:tcW w:w="2358" w:type="dxa"/>
            <w:tcBorders>
              <w:top w:val="none" w:sz="0" w:space="0" w:color="FFFFFF"/>
              <w:left w:val="none" w:sz="0" w:space="0" w:color="FFFFFF"/>
              <w:bottom w:val="single" w:sz="2" w:space="0" w:color="D4E0D8"/>
              <w:right w:val="none" w:sz="0" w:space="0" w:color="FFFFFF"/>
            </w:tcBorders>
            <w:shd w:val="clear" w:color="auto" w:fill="FFFFFF"/>
            <w:tcMar>
              <w:top w:w="80" w:type="dxa"/>
              <w:left w:w="100" w:type="dxa"/>
              <w:bottom w:w="80" w:type="dxa"/>
              <w:right w:w="100" w:type="dxa"/>
            </w:tcMar>
          </w:tcPr>
          <w:p w14:paraId="25E1EC16" w14:textId="77777777" w:rsidR="00FB3E3C" w:rsidRDefault="0018136B">
            <w:r>
              <w:rPr>
                <w:rFonts w:ascii="Georgia" w:eastAsia="Georgia" w:hAnsi="Georgia" w:cs="Georgia"/>
                <w:color w:val="2C3A2E"/>
                <w:sz w:val="18"/>
                <w:szCs w:val="18"/>
              </w:rPr>
              <w:t xml:space="preserve">Governance </w:t>
            </w:r>
            <w:proofErr w:type="spellStart"/>
            <w:r>
              <w:rPr>
                <w:rFonts w:ascii="Georgia" w:eastAsia="Georgia" w:hAnsi="Georgia" w:cs="Georgia"/>
                <w:color w:val="2C3A2E"/>
                <w:sz w:val="18"/>
                <w:szCs w:val="18"/>
              </w:rPr>
              <w:t>niet</w:t>
            </w:r>
            <w:proofErr w:type="spellEnd"/>
            <w:r>
              <w:rPr>
                <w:rFonts w:ascii="Georgia" w:eastAsia="Georgia" w:hAnsi="Georgia" w:cs="Georgia"/>
                <w:color w:val="2C3A2E"/>
                <w:sz w:val="18"/>
                <w:szCs w:val="18"/>
              </w:rPr>
              <w:t xml:space="preserve"> op papier</w:t>
            </w:r>
          </w:p>
        </w:tc>
        <w:tc>
          <w:tcPr>
            <w:tcW w:w="2358" w:type="dxa"/>
            <w:tcBorders>
              <w:top w:val="none" w:sz="0" w:space="0" w:color="FFFFFF"/>
              <w:left w:val="none" w:sz="0" w:space="0" w:color="FFFFFF"/>
              <w:bottom w:val="single" w:sz="2" w:space="0" w:color="D4E0D8"/>
              <w:right w:val="none" w:sz="0" w:space="0" w:color="FFFFFF"/>
            </w:tcBorders>
            <w:shd w:val="clear" w:color="auto" w:fill="FFFFFF"/>
            <w:tcMar>
              <w:top w:w="80" w:type="dxa"/>
              <w:left w:w="100" w:type="dxa"/>
              <w:bottom w:w="80" w:type="dxa"/>
              <w:right w:w="100" w:type="dxa"/>
            </w:tcMar>
          </w:tcPr>
          <w:p w14:paraId="25E1EC17" w14:textId="77777777" w:rsidR="00FB3E3C" w:rsidRPr="00B92F03" w:rsidRDefault="0018136B">
            <w:pPr>
              <w:rPr>
                <w:lang w:val="nl-NL"/>
              </w:rPr>
            </w:pPr>
            <w:r w:rsidRPr="00B92F03">
              <w:rPr>
                <w:rFonts w:ascii="Georgia" w:eastAsia="Georgia" w:hAnsi="Georgia" w:cs="Georgia"/>
                <w:color w:val="2C3A2E"/>
                <w:sz w:val="18"/>
                <w:szCs w:val="18"/>
                <w:lang w:val="nl-NL"/>
              </w:rPr>
              <w:t>Te laat beginnen met documenteren</w:t>
            </w:r>
          </w:p>
        </w:tc>
        <w:tc>
          <w:tcPr>
            <w:tcW w:w="2358" w:type="dxa"/>
            <w:tcBorders>
              <w:top w:val="none" w:sz="0" w:space="0" w:color="FFFFFF"/>
              <w:left w:val="none" w:sz="0" w:space="0" w:color="FFFFFF"/>
              <w:bottom w:val="single" w:sz="2" w:space="0" w:color="D4E0D8"/>
              <w:right w:val="none" w:sz="0" w:space="0" w:color="FFFFFF"/>
            </w:tcBorders>
            <w:shd w:val="clear" w:color="auto" w:fill="FFFFFF"/>
            <w:tcMar>
              <w:top w:w="80" w:type="dxa"/>
              <w:left w:w="100" w:type="dxa"/>
              <w:bottom w:w="80" w:type="dxa"/>
              <w:right w:w="100" w:type="dxa"/>
            </w:tcMar>
          </w:tcPr>
          <w:p w14:paraId="25E1EC18" w14:textId="77777777" w:rsidR="00FB3E3C" w:rsidRDefault="0018136B">
            <w:proofErr w:type="spellStart"/>
            <w:r>
              <w:rPr>
                <w:rFonts w:ascii="Georgia" w:eastAsia="Georgia" w:hAnsi="Georgia" w:cs="Georgia"/>
                <w:color w:val="2C3A2E"/>
                <w:sz w:val="18"/>
                <w:szCs w:val="18"/>
              </w:rPr>
              <w:t>Verkeerde</w:t>
            </w:r>
            <w:proofErr w:type="spellEnd"/>
            <w:r>
              <w:rPr>
                <w:rFonts w:ascii="Georgia" w:eastAsia="Georgia" w:hAnsi="Georgia" w:cs="Georgia"/>
                <w:color w:val="2C3A2E"/>
                <w:sz w:val="18"/>
                <w:szCs w:val="18"/>
              </w:rPr>
              <w:t xml:space="preserve"> </w:t>
            </w:r>
            <w:proofErr w:type="spellStart"/>
            <w:r>
              <w:rPr>
                <w:rFonts w:ascii="Georgia" w:eastAsia="Georgia" w:hAnsi="Georgia" w:cs="Georgia"/>
                <w:color w:val="2C3A2E"/>
                <w:sz w:val="18"/>
                <w:szCs w:val="18"/>
              </w:rPr>
              <w:t>trede</w:t>
            </w:r>
            <w:proofErr w:type="spellEnd"/>
            <w:r>
              <w:rPr>
                <w:rFonts w:ascii="Georgia" w:eastAsia="Georgia" w:hAnsi="Georgia" w:cs="Georgia"/>
                <w:color w:val="2C3A2E"/>
                <w:sz w:val="18"/>
                <w:szCs w:val="18"/>
              </w:rPr>
              <w:t xml:space="preserve"> </w:t>
            </w:r>
            <w:proofErr w:type="spellStart"/>
            <w:r>
              <w:rPr>
                <w:rFonts w:ascii="Georgia" w:eastAsia="Georgia" w:hAnsi="Georgia" w:cs="Georgia"/>
                <w:color w:val="2C3A2E"/>
                <w:sz w:val="18"/>
                <w:szCs w:val="18"/>
              </w:rPr>
              <w:t>als</w:t>
            </w:r>
            <w:proofErr w:type="spellEnd"/>
            <w:r>
              <w:rPr>
                <w:rFonts w:ascii="Georgia" w:eastAsia="Georgia" w:hAnsi="Georgia" w:cs="Georgia"/>
                <w:color w:val="2C3A2E"/>
                <w:sz w:val="18"/>
                <w:szCs w:val="18"/>
              </w:rPr>
              <w:t xml:space="preserve"> </w:t>
            </w:r>
            <w:proofErr w:type="spellStart"/>
            <w:r>
              <w:rPr>
                <w:rFonts w:ascii="Georgia" w:eastAsia="Georgia" w:hAnsi="Georgia" w:cs="Georgia"/>
                <w:color w:val="2C3A2E"/>
                <w:sz w:val="18"/>
                <w:szCs w:val="18"/>
              </w:rPr>
              <w:t>startpunt</w:t>
            </w:r>
            <w:proofErr w:type="spellEnd"/>
          </w:p>
        </w:tc>
      </w:tr>
      <w:tr w:rsidR="00FB3E3C" w14:paraId="25E1EC1E" w14:textId="2BAFEB5F">
        <w:tc>
          <w:tcPr>
            <w:tcW w:w="1995" w:type="dxa"/>
            <w:tcBorders>
              <w:top w:val="none" w:sz="0" w:space="0" w:color="FFFFFF"/>
              <w:left w:val="none" w:sz="0" w:space="0" w:color="FFFFFF"/>
              <w:bottom w:val="single" w:sz="2" w:space="0" w:color="D4E0D8"/>
              <w:right w:val="none" w:sz="0" w:space="0" w:color="FFFFFF"/>
            </w:tcBorders>
            <w:shd w:val="clear" w:color="auto" w:fill="EAF4EE"/>
            <w:tcMar>
              <w:top w:w="80" w:type="dxa"/>
              <w:left w:w="100" w:type="dxa"/>
              <w:bottom w:w="80" w:type="dxa"/>
              <w:right w:w="100" w:type="dxa"/>
            </w:tcMar>
          </w:tcPr>
          <w:p w14:paraId="25E1EC1A" w14:textId="77777777" w:rsidR="00FB3E3C" w:rsidRDefault="0018136B">
            <w:proofErr w:type="spellStart"/>
            <w:r>
              <w:rPr>
                <w:rFonts w:ascii="Arial" w:eastAsia="Arial" w:hAnsi="Arial" w:cs="Arial"/>
                <w:b/>
                <w:bCs/>
                <w:color w:val="5A6B5E"/>
                <w:sz w:val="18"/>
                <w:szCs w:val="18"/>
              </w:rPr>
              <w:t>Geldig</w:t>
            </w:r>
            <w:proofErr w:type="spellEnd"/>
            <w:r>
              <w:rPr>
                <w:rFonts w:ascii="Arial" w:eastAsia="Arial" w:hAnsi="Arial" w:cs="Arial"/>
                <w:b/>
                <w:bCs/>
                <w:color w:val="5A6B5E"/>
                <w:sz w:val="18"/>
                <w:szCs w:val="18"/>
              </w:rPr>
              <w:t xml:space="preserve"> </w:t>
            </w:r>
            <w:proofErr w:type="spellStart"/>
            <w:r>
              <w:rPr>
                <w:rFonts w:ascii="Arial" w:eastAsia="Arial" w:hAnsi="Arial" w:cs="Arial"/>
                <w:b/>
                <w:bCs/>
                <w:color w:val="5A6B5E"/>
                <w:sz w:val="18"/>
                <w:szCs w:val="18"/>
              </w:rPr>
              <w:t>voor</w:t>
            </w:r>
            <w:proofErr w:type="spellEnd"/>
          </w:p>
        </w:tc>
        <w:tc>
          <w:tcPr>
            <w:tcW w:w="2358" w:type="dxa"/>
            <w:tcBorders>
              <w:top w:val="none" w:sz="0" w:space="0" w:color="FFFFFF"/>
              <w:left w:val="none" w:sz="0" w:space="0" w:color="FFFFFF"/>
              <w:bottom w:val="single" w:sz="2" w:space="0" w:color="D4E0D8"/>
              <w:right w:val="none" w:sz="0" w:space="0" w:color="FFFFFF"/>
            </w:tcBorders>
            <w:shd w:val="clear" w:color="auto" w:fill="EAF4EE"/>
            <w:tcMar>
              <w:top w:w="80" w:type="dxa"/>
              <w:left w:w="100" w:type="dxa"/>
              <w:bottom w:w="80" w:type="dxa"/>
              <w:right w:w="100" w:type="dxa"/>
            </w:tcMar>
          </w:tcPr>
          <w:p w14:paraId="25E1EC1B" w14:textId="77777777" w:rsidR="00FB3E3C" w:rsidRDefault="0018136B">
            <w:r>
              <w:rPr>
                <w:rFonts w:ascii="Georgia" w:eastAsia="Georgia" w:hAnsi="Georgia" w:cs="Georgia"/>
                <w:color w:val="2C3A2E"/>
                <w:sz w:val="18"/>
                <w:szCs w:val="18"/>
              </w:rPr>
              <w:t xml:space="preserve">3 </w:t>
            </w:r>
            <w:proofErr w:type="spellStart"/>
            <w:r>
              <w:rPr>
                <w:rFonts w:ascii="Georgia" w:eastAsia="Georgia" w:hAnsi="Georgia" w:cs="Georgia"/>
                <w:color w:val="2C3A2E"/>
                <w:sz w:val="18"/>
                <w:szCs w:val="18"/>
              </w:rPr>
              <w:t>jaar</w:t>
            </w:r>
            <w:proofErr w:type="spellEnd"/>
            <w:r>
              <w:rPr>
                <w:rFonts w:ascii="Georgia" w:eastAsia="Georgia" w:hAnsi="Georgia" w:cs="Georgia"/>
                <w:color w:val="2C3A2E"/>
                <w:sz w:val="18"/>
                <w:szCs w:val="18"/>
              </w:rPr>
              <w:t xml:space="preserve"> (</w:t>
            </w:r>
            <w:proofErr w:type="spellStart"/>
            <w:r>
              <w:rPr>
                <w:rFonts w:ascii="Georgia" w:eastAsia="Georgia" w:hAnsi="Georgia" w:cs="Georgia"/>
                <w:color w:val="2C3A2E"/>
                <w:sz w:val="18"/>
                <w:szCs w:val="18"/>
              </w:rPr>
              <w:t>herbeoordeeld</w:t>
            </w:r>
            <w:proofErr w:type="spellEnd"/>
            <w:r>
              <w:rPr>
                <w:rFonts w:ascii="Georgia" w:eastAsia="Georgia" w:hAnsi="Georgia" w:cs="Georgia"/>
                <w:color w:val="2C3A2E"/>
                <w:sz w:val="18"/>
                <w:szCs w:val="18"/>
              </w:rPr>
              <w:t>)</w:t>
            </w:r>
          </w:p>
        </w:tc>
        <w:tc>
          <w:tcPr>
            <w:tcW w:w="2358" w:type="dxa"/>
            <w:tcBorders>
              <w:top w:val="none" w:sz="0" w:space="0" w:color="FFFFFF"/>
              <w:left w:val="none" w:sz="0" w:space="0" w:color="FFFFFF"/>
              <w:bottom w:val="single" w:sz="2" w:space="0" w:color="D4E0D8"/>
              <w:right w:val="none" w:sz="0" w:space="0" w:color="FFFFFF"/>
            </w:tcBorders>
            <w:shd w:val="clear" w:color="auto" w:fill="EAF4EE"/>
            <w:tcMar>
              <w:top w:w="80" w:type="dxa"/>
              <w:left w:w="100" w:type="dxa"/>
              <w:bottom w:w="80" w:type="dxa"/>
              <w:right w:w="100" w:type="dxa"/>
            </w:tcMar>
          </w:tcPr>
          <w:p w14:paraId="25E1EC1C" w14:textId="77777777" w:rsidR="00FB3E3C" w:rsidRDefault="0018136B">
            <w:r>
              <w:rPr>
                <w:rFonts w:ascii="Georgia" w:eastAsia="Georgia" w:hAnsi="Georgia" w:cs="Georgia"/>
                <w:color w:val="2C3A2E"/>
                <w:sz w:val="18"/>
                <w:szCs w:val="18"/>
              </w:rPr>
              <w:t xml:space="preserve">1 </w:t>
            </w:r>
            <w:proofErr w:type="spellStart"/>
            <w:r>
              <w:rPr>
                <w:rFonts w:ascii="Georgia" w:eastAsia="Georgia" w:hAnsi="Georgia" w:cs="Georgia"/>
                <w:color w:val="2C3A2E"/>
                <w:sz w:val="18"/>
                <w:szCs w:val="18"/>
              </w:rPr>
              <w:t>jaar</w:t>
            </w:r>
            <w:proofErr w:type="spellEnd"/>
            <w:r>
              <w:rPr>
                <w:rFonts w:ascii="Georgia" w:eastAsia="Georgia" w:hAnsi="Georgia" w:cs="Georgia"/>
                <w:color w:val="2C3A2E"/>
                <w:sz w:val="18"/>
                <w:szCs w:val="18"/>
              </w:rPr>
              <w:t xml:space="preserve"> (</w:t>
            </w:r>
            <w:proofErr w:type="spellStart"/>
            <w:r>
              <w:rPr>
                <w:rFonts w:ascii="Georgia" w:eastAsia="Georgia" w:hAnsi="Georgia" w:cs="Georgia"/>
                <w:color w:val="2C3A2E"/>
                <w:sz w:val="18"/>
                <w:szCs w:val="18"/>
              </w:rPr>
              <w:t>jaarlijks</w:t>
            </w:r>
            <w:proofErr w:type="spellEnd"/>
            <w:r>
              <w:rPr>
                <w:rFonts w:ascii="Georgia" w:eastAsia="Georgia" w:hAnsi="Georgia" w:cs="Georgia"/>
                <w:color w:val="2C3A2E"/>
                <w:sz w:val="18"/>
                <w:szCs w:val="18"/>
              </w:rPr>
              <w:t>)</w:t>
            </w:r>
          </w:p>
        </w:tc>
        <w:tc>
          <w:tcPr>
            <w:tcW w:w="2358" w:type="dxa"/>
            <w:tcBorders>
              <w:top w:val="none" w:sz="0" w:space="0" w:color="FFFFFF"/>
              <w:left w:val="none" w:sz="0" w:space="0" w:color="FFFFFF"/>
              <w:bottom w:val="single" w:sz="2" w:space="0" w:color="D4E0D8"/>
              <w:right w:val="none" w:sz="0" w:space="0" w:color="FFFFFF"/>
            </w:tcBorders>
            <w:shd w:val="clear" w:color="auto" w:fill="EAF4EE"/>
            <w:tcMar>
              <w:top w:w="80" w:type="dxa"/>
              <w:left w:w="100" w:type="dxa"/>
              <w:bottom w:w="80" w:type="dxa"/>
              <w:right w:w="100" w:type="dxa"/>
            </w:tcMar>
          </w:tcPr>
          <w:p w14:paraId="25E1EC1D" w14:textId="77777777" w:rsidR="00FB3E3C" w:rsidRDefault="0018136B">
            <w:r>
              <w:rPr>
                <w:rFonts w:ascii="Georgia" w:eastAsia="Georgia" w:hAnsi="Georgia" w:cs="Georgia"/>
                <w:color w:val="2C3A2E"/>
                <w:sz w:val="18"/>
                <w:szCs w:val="18"/>
              </w:rPr>
              <w:t xml:space="preserve">3 </w:t>
            </w:r>
            <w:proofErr w:type="spellStart"/>
            <w:r>
              <w:rPr>
                <w:rFonts w:ascii="Georgia" w:eastAsia="Georgia" w:hAnsi="Georgia" w:cs="Georgia"/>
                <w:color w:val="2C3A2E"/>
                <w:sz w:val="18"/>
                <w:szCs w:val="18"/>
              </w:rPr>
              <w:t>jaar</w:t>
            </w:r>
            <w:proofErr w:type="spellEnd"/>
          </w:p>
        </w:tc>
      </w:tr>
    </w:tbl>
    <w:p w14:paraId="25E1EC1F" w14:textId="77777777" w:rsidR="00FB3E3C" w:rsidRDefault="00FB3E3C">
      <w:pPr>
        <w:spacing w:after="200"/>
      </w:pPr>
    </w:p>
    <w:p w14:paraId="25E1EC20" w14:textId="77777777" w:rsidR="00FB3E3C" w:rsidRPr="00B92F03" w:rsidRDefault="0018136B">
      <w:pPr>
        <w:pBdr>
          <w:bottom w:val="single" w:sz="4" w:space="0" w:color="D4E0D8"/>
        </w:pBdr>
        <w:spacing w:before="320" w:after="120"/>
        <w:rPr>
          <w:lang w:val="nl-NL"/>
        </w:rPr>
      </w:pPr>
      <w:r w:rsidRPr="00B92F03">
        <w:rPr>
          <w:rFonts w:ascii="Georgia" w:eastAsia="Georgia" w:hAnsi="Georgia" w:cs="Georgia"/>
          <w:b/>
          <w:bCs/>
          <w:color w:val="1E6B3C"/>
          <w:sz w:val="28"/>
          <w:szCs w:val="28"/>
          <w:lang w:val="nl-NL"/>
        </w:rPr>
        <w:t>Waarom het moment van beginnen alles bepaalt</w:t>
      </w:r>
    </w:p>
    <w:p w14:paraId="25E1EC21" w14:textId="77777777" w:rsidR="00FB3E3C" w:rsidRPr="00B92F03" w:rsidRDefault="0018136B">
      <w:pPr>
        <w:spacing w:after="160"/>
        <w:rPr>
          <w:lang w:val="nl-NL"/>
        </w:rPr>
      </w:pPr>
      <w:r w:rsidRPr="00B92F03">
        <w:rPr>
          <w:rFonts w:ascii="Georgia" w:eastAsia="Georgia" w:hAnsi="Georgia" w:cs="Georgia"/>
          <w:color w:val="2C3A2E"/>
          <w:sz w:val="22"/>
          <w:szCs w:val="22"/>
          <w:lang w:val="nl-NL"/>
        </w:rPr>
        <w:t>De kosten van een slechte startscore zijn drieledig. Ten eerste een gunningskans die je mist terwijl je eigenlijk had kunnen voldoen. Ten tweede de extra tijd en energie om een lage score te verbeteren terwijl je al onder commerciële druk staat. En ten derde — het meest onderschatte — het signaal dat je afgeeft: duurzaamheid komt pas op de agenda als een klant erom vraagt.</w:t>
      </w:r>
    </w:p>
    <w:p w14:paraId="25E1EC22" w14:textId="77777777" w:rsidR="00FB3E3C" w:rsidRPr="00B92F03" w:rsidRDefault="0018136B">
      <w:pPr>
        <w:spacing w:after="160"/>
        <w:rPr>
          <w:lang w:val="nl-NL"/>
        </w:rPr>
      </w:pPr>
      <w:r w:rsidRPr="00B92F03">
        <w:rPr>
          <w:rFonts w:ascii="Georgia" w:eastAsia="Georgia" w:hAnsi="Georgia" w:cs="Georgia"/>
          <w:color w:val="2C3A2E"/>
          <w:sz w:val="22"/>
          <w:szCs w:val="22"/>
          <w:lang w:val="nl-NL"/>
        </w:rPr>
        <w:t xml:space="preserve">De bedrijven die structureel goed scoren, doen iets anders. Ze weten al vóór het eerste verzoek waar ze staan. Ze kennen hun </w:t>
      </w:r>
      <w:proofErr w:type="spellStart"/>
      <w:r w:rsidRPr="00B92F03">
        <w:rPr>
          <w:rFonts w:ascii="Georgia" w:eastAsia="Georgia" w:hAnsi="Georgia" w:cs="Georgia"/>
          <w:color w:val="2C3A2E"/>
          <w:sz w:val="22"/>
          <w:szCs w:val="22"/>
          <w:lang w:val="nl-NL"/>
        </w:rPr>
        <w:t>gaps</w:t>
      </w:r>
      <w:proofErr w:type="spellEnd"/>
      <w:r w:rsidRPr="00B92F03">
        <w:rPr>
          <w:rFonts w:ascii="Georgia" w:eastAsia="Georgia" w:hAnsi="Georgia" w:cs="Georgia"/>
          <w:color w:val="2C3A2E"/>
          <w:sz w:val="22"/>
          <w:szCs w:val="22"/>
          <w:lang w:val="nl-NL"/>
        </w:rPr>
        <w:t>. Ze hebben in de maanden of jaren daarvoor kleine, gerichte stappen gezet — niet omdat het moest, maar omdat ze wisten dat het vroeg of laat relevant zou worden.</w:t>
      </w:r>
    </w:p>
    <w:p w14:paraId="25E1EC23" w14:textId="77777777" w:rsidR="00FB3E3C" w:rsidRPr="00B92F03" w:rsidRDefault="0018136B">
      <w:pPr>
        <w:pBdr>
          <w:bottom w:val="single" w:sz="4" w:space="0" w:color="D4E0D8"/>
        </w:pBdr>
        <w:spacing w:before="320" w:after="120"/>
        <w:rPr>
          <w:lang w:val="nl-NL"/>
        </w:rPr>
      </w:pPr>
      <w:r w:rsidRPr="00B92F03">
        <w:rPr>
          <w:rFonts w:ascii="Georgia" w:eastAsia="Georgia" w:hAnsi="Georgia" w:cs="Georgia"/>
          <w:b/>
          <w:bCs/>
          <w:color w:val="1E6B3C"/>
          <w:sz w:val="28"/>
          <w:szCs w:val="28"/>
          <w:lang w:val="nl-NL"/>
        </w:rPr>
        <w:t>Het alternatief: inzicht vóórdat de vraag komt</w:t>
      </w:r>
    </w:p>
    <w:p w14:paraId="25E1EC24" w14:textId="77777777" w:rsidR="00FB3E3C" w:rsidRPr="00B92F03" w:rsidRDefault="0018136B">
      <w:pPr>
        <w:spacing w:after="160"/>
        <w:rPr>
          <w:lang w:val="nl-NL"/>
        </w:rPr>
      </w:pPr>
      <w:r w:rsidRPr="00B92F03">
        <w:rPr>
          <w:rFonts w:ascii="Georgia" w:eastAsia="Georgia" w:hAnsi="Georgia" w:cs="Georgia"/>
          <w:color w:val="2C3A2E"/>
          <w:sz w:val="22"/>
          <w:szCs w:val="22"/>
          <w:lang w:val="nl-NL"/>
        </w:rPr>
        <w:t xml:space="preserve">Proactief beginnen hoeft niet te betekenen dat je direct een volledig certificeringstraject opstart. De eerste stap is inzicht: waar sta ik nu, op welke thema’s, ten opzichte van de kaders die voor mijn sector relevant zijn? Wat zijn de echte </w:t>
      </w:r>
      <w:proofErr w:type="spellStart"/>
      <w:r w:rsidRPr="00B92F03">
        <w:rPr>
          <w:rFonts w:ascii="Georgia" w:eastAsia="Georgia" w:hAnsi="Georgia" w:cs="Georgia"/>
          <w:color w:val="2C3A2E"/>
          <w:sz w:val="22"/>
          <w:szCs w:val="22"/>
          <w:lang w:val="nl-NL"/>
        </w:rPr>
        <w:t>gaps</w:t>
      </w:r>
      <w:proofErr w:type="spellEnd"/>
      <w:r w:rsidRPr="00B92F03">
        <w:rPr>
          <w:rFonts w:ascii="Georgia" w:eastAsia="Georgia" w:hAnsi="Georgia" w:cs="Georgia"/>
          <w:color w:val="2C3A2E"/>
          <w:sz w:val="22"/>
          <w:szCs w:val="22"/>
          <w:lang w:val="nl-NL"/>
        </w:rPr>
        <w:t xml:space="preserve"> — niet de veronderstelde? En welk certificeringskader past het beste bij mijn klantprofiel en groeistrategie?</w:t>
      </w:r>
    </w:p>
    <w:p w14:paraId="25E1EC25" w14:textId="77777777" w:rsidR="00FB3E3C" w:rsidRPr="00B92F03" w:rsidRDefault="0018136B">
      <w:pPr>
        <w:spacing w:after="160"/>
        <w:rPr>
          <w:lang w:val="nl-NL"/>
        </w:rPr>
      </w:pPr>
      <w:r w:rsidRPr="00B92F03">
        <w:rPr>
          <w:rFonts w:ascii="Georgia" w:eastAsia="Georgia" w:hAnsi="Georgia" w:cs="Georgia"/>
          <w:color w:val="2C3A2E"/>
          <w:sz w:val="22"/>
          <w:szCs w:val="22"/>
          <w:lang w:val="nl-NL"/>
        </w:rPr>
        <w:t>Die vragen beantwoorden hoeft geen maanden te duren en vraagt niet gelijk een volledig consultanttraject. Ze kosten eerlijkheid en een gestructureerde aanpak — een goed startpunt om daarna, als je weet waar je staat, de juiste expertise gericht in te zetten. Wie dat inzicht heeft, kan gerichte keuzes maken: wat doe ik nu, wat doe ik volgend jaar, en welk label helpt mij op welk moment het meest? Dat is certificering als strategie — niet als verdediging.</w:t>
      </w:r>
    </w:p>
    <w:p w14:paraId="25E1EC27" w14:textId="796ED848" w:rsidR="00FB3E3C" w:rsidRPr="00B92F03" w:rsidRDefault="0018136B">
      <w:pPr>
        <w:spacing w:after="160"/>
        <w:rPr>
          <w:lang w:val="nl-NL"/>
        </w:rPr>
      </w:pPr>
      <w:r w:rsidRPr="00B92F03">
        <w:rPr>
          <w:rFonts w:ascii="Georgia" w:eastAsia="Georgia" w:hAnsi="Georgia" w:cs="Georgia"/>
          <w:color w:val="2C3A2E"/>
          <w:sz w:val="22"/>
          <w:szCs w:val="22"/>
          <w:lang w:val="nl-NL"/>
        </w:rPr>
        <w:t>En het mooie is: de meeste bedrijven die beginnen met die doorlichting, ontdekken dat ze al verder staan dan ze dachten. Ze missen niet de prestatie. Ze missen de taal om erover te praten.</w:t>
      </w:r>
    </w:p>
    <w:tbl>
      <w:tblPr>
        <w:tblW w:w="9072" w:type="dxa"/>
        <w:tblInd w:w="-25"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FB3E3C" w:rsidRPr="00F6352F" w14:paraId="25E1EC2C" w14:textId="7DFACCF2">
        <w:tc>
          <w:tcPr>
            <w:tcW w:w="9072" w:type="dxa"/>
            <w:tcBorders>
              <w:top w:val="none" w:sz="0" w:space="0" w:color="FFFFFF"/>
              <w:left w:val="thick" w:sz="20" w:space="0" w:color="1E6B3C"/>
              <w:bottom w:val="none" w:sz="0" w:space="0" w:color="FFFFFF"/>
              <w:right w:val="none" w:sz="0" w:space="0" w:color="FFFFFF"/>
            </w:tcBorders>
            <w:shd w:val="clear" w:color="auto" w:fill="EAF4EE"/>
            <w:tcMar>
              <w:top w:w="160" w:type="dxa"/>
              <w:left w:w="220" w:type="dxa"/>
              <w:bottom w:w="160" w:type="dxa"/>
              <w:right w:w="220" w:type="dxa"/>
            </w:tcMar>
          </w:tcPr>
          <w:p w14:paraId="25E1EC28" w14:textId="77777777" w:rsidR="00FB3E3C" w:rsidRPr="00B92F03" w:rsidRDefault="0018136B">
            <w:pPr>
              <w:spacing w:after="100"/>
              <w:rPr>
                <w:lang w:val="nl-NL"/>
              </w:rPr>
            </w:pPr>
            <w:r w:rsidRPr="00B92F03">
              <w:rPr>
                <w:rFonts w:ascii="Arial" w:eastAsia="Arial" w:hAnsi="Arial" w:cs="Arial"/>
                <w:b/>
                <w:bCs/>
                <w:color w:val="1A2B1E"/>
                <w:sz w:val="24"/>
                <w:szCs w:val="24"/>
                <w:lang w:val="nl-NL"/>
              </w:rPr>
              <w:t>Weet u waar u staat — voordat iemand ernaar vraagt?</w:t>
            </w:r>
          </w:p>
          <w:p w14:paraId="25E1EC29" w14:textId="77777777" w:rsidR="00FB3E3C" w:rsidRPr="00B92F03" w:rsidRDefault="0018136B">
            <w:pPr>
              <w:spacing w:after="100"/>
              <w:rPr>
                <w:lang w:val="nl-NL"/>
              </w:rPr>
            </w:pPr>
            <w:r w:rsidRPr="00B92F03">
              <w:rPr>
                <w:rFonts w:ascii="Arial" w:eastAsia="Arial" w:hAnsi="Arial" w:cs="Arial"/>
                <w:color w:val="2C3A2E"/>
                <w:lang w:val="nl-NL"/>
              </w:rPr>
              <w:t xml:space="preserve">De </w:t>
            </w:r>
            <w:proofErr w:type="spellStart"/>
            <w:r w:rsidRPr="00B92F03">
              <w:rPr>
                <w:rFonts w:ascii="Arial" w:eastAsia="Arial" w:hAnsi="Arial" w:cs="Arial"/>
                <w:color w:val="2C3A2E"/>
                <w:lang w:val="nl-NL"/>
              </w:rPr>
              <w:t>Certification</w:t>
            </w:r>
            <w:proofErr w:type="spellEnd"/>
            <w:r w:rsidRPr="00B92F03">
              <w:rPr>
                <w:rFonts w:ascii="Arial" w:eastAsia="Arial" w:hAnsi="Arial" w:cs="Arial"/>
                <w:color w:val="2C3A2E"/>
                <w:lang w:val="nl-NL"/>
              </w:rPr>
              <w:t xml:space="preserve"> Readiness Pre-scan brengt in een paar minuten in kaart hoe uw organisatie scoort op de thema’s die tellen voor B-</w:t>
            </w:r>
            <w:proofErr w:type="spellStart"/>
            <w:r w:rsidRPr="00B92F03">
              <w:rPr>
                <w:rFonts w:ascii="Arial" w:eastAsia="Arial" w:hAnsi="Arial" w:cs="Arial"/>
                <w:color w:val="2C3A2E"/>
                <w:lang w:val="nl-NL"/>
              </w:rPr>
              <w:t>Corp</w:t>
            </w:r>
            <w:proofErr w:type="spellEnd"/>
            <w:r w:rsidRPr="00B92F03">
              <w:rPr>
                <w:rFonts w:ascii="Arial" w:eastAsia="Arial" w:hAnsi="Arial" w:cs="Arial"/>
                <w:color w:val="2C3A2E"/>
                <w:lang w:val="nl-NL"/>
              </w:rPr>
              <w:t xml:space="preserve">, </w:t>
            </w:r>
            <w:proofErr w:type="spellStart"/>
            <w:r w:rsidRPr="00B92F03">
              <w:rPr>
                <w:rFonts w:ascii="Arial" w:eastAsia="Arial" w:hAnsi="Arial" w:cs="Arial"/>
                <w:color w:val="2C3A2E"/>
                <w:lang w:val="nl-NL"/>
              </w:rPr>
              <w:t>EcoVadis</w:t>
            </w:r>
            <w:proofErr w:type="spellEnd"/>
            <w:r w:rsidRPr="00B92F03">
              <w:rPr>
                <w:rFonts w:ascii="Arial" w:eastAsia="Arial" w:hAnsi="Arial" w:cs="Arial"/>
                <w:color w:val="2C3A2E"/>
                <w:lang w:val="nl-NL"/>
              </w:rPr>
              <w:t xml:space="preserve"> en de MVO Prestatieladder. U ziet direct welke blinde vlekken er zijn en welk kader het beste bij uw situatie past. Geen registratie, geen verplichtingen — wel een eerlijk startpunt.</w:t>
            </w:r>
          </w:p>
          <w:p w14:paraId="25E1EC2A" w14:textId="77777777" w:rsidR="00FB3E3C" w:rsidRPr="00B92F03" w:rsidRDefault="0018136B">
            <w:pPr>
              <w:spacing w:after="100"/>
              <w:rPr>
                <w:lang w:val="nl-NL"/>
              </w:rPr>
            </w:pPr>
            <w:r w:rsidRPr="00B92F03">
              <w:rPr>
                <w:rFonts w:ascii="Arial" w:eastAsia="Arial" w:hAnsi="Arial" w:cs="Arial"/>
                <w:color w:val="2C3A2E"/>
                <w:lang w:val="nl-NL"/>
              </w:rPr>
              <w:t xml:space="preserve">Op basis van uw scanresultaten kunt u vervolgens een uitgebreid </w:t>
            </w:r>
            <w:r w:rsidRPr="00B92F03">
              <w:rPr>
                <w:rFonts w:ascii="Arial" w:eastAsia="Arial" w:hAnsi="Arial" w:cs="Arial"/>
                <w:b/>
                <w:bCs/>
                <w:color w:val="2C3A2E"/>
                <w:lang w:val="nl-NL"/>
              </w:rPr>
              <w:t>Readiness Rapport</w:t>
            </w:r>
            <w:r w:rsidRPr="00B92F03">
              <w:rPr>
                <w:rFonts w:ascii="Arial" w:eastAsia="Arial" w:hAnsi="Arial" w:cs="Arial"/>
                <w:color w:val="2C3A2E"/>
                <w:lang w:val="nl-NL"/>
              </w:rPr>
              <w:t xml:space="preserve"> ontvangen: een persoonlijke analyse met concrete actiepunten per certificering, benchmarkdata en gerichte aanbevelingen — zodat u goed voorbereid het gesprek met een expert ingaat.</w:t>
            </w:r>
          </w:p>
          <w:p w14:paraId="25E1EC2B" w14:textId="5506F8D0" w:rsidR="00FB3E3C" w:rsidRPr="00B92F03" w:rsidRDefault="0018136B">
            <w:pPr>
              <w:rPr>
                <w:lang w:val="nl-NL"/>
              </w:rPr>
            </w:pPr>
            <w:hyperlink r:id="rId10" w:history="1">
              <w:r w:rsidRPr="00B92F03">
                <w:rPr>
                  <w:rFonts w:ascii="Arial" w:eastAsia="Arial" w:hAnsi="Arial" w:cs="Arial"/>
                  <w:b/>
                  <w:bCs/>
                  <w:color w:val="1E6B3C"/>
                  <w:lang w:val="nl-NL"/>
                </w:rPr>
                <w:t>→ Doe de gratis pre-scan</w:t>
              </w:r>
            </w:hyperlink>
          </w:p>
        </w:tc>
      </w:tr>
    </w:tbl>
    <w:p w14:paraId="25E1EC2D" w14:textId="77777777" w:rsidR="00FB3E3C" w:rsidRPr="00B92F03" w:rsidRDefault="00FB3E3C">
      <w:pPr>
        <w:spacing w:after="160"/>
        <w:rPr>
          <w:lang w:val="nl-NL"/>
        </w:rPr>
      </w:pPr>
    </w:p>
    <w:p w14:paraId="25E1EC2E" w14:textId="69A98911" w:rsidR="00FB3E3C" w:rsidRDefault="0018136B">
      <w:pPr>
        <w:pBdr>
          <w:top w:val="single" w:sz="4" w:space="0" w:color="D4E0D8"/>
        </w:pBdr>
      </w:pPr>
      <w:r w:rsidRPr="00B92F03">
        <w:rPr>
          <w:rFonts w:ascii="Arial" w:eastAsia="Arial" w:hAnsi="Arial" w:cs="Arial"/>
          <w:i/>
          <w:iCs/>
          <w:color w:val="8A9B8E"/>
          <w:sz w:val="18"/>
          <w:szCs w:val="18"/>
          <w:lang w:val="nl-NL"/>
        </w:rPr>
        <w:lastRenderedPageBreak/>
        <w:t xml:space="preserve">Patrick de Veer is Directeur bij </w:t>
      </w:r>
      <w:proofErr w:type="spellStart"/>
      <w:r w:rsidRPr="00B92F03">
        <w:rPr>
          <w:rFonts w:ascii="Arial" w:eastAsia="Arial" w:hAnsi="Arial" w:cs="Arial"/>
          <w:i/>
          <w:iCs/>
          <w:color w:val="8A9B8E"/>
          <w:sz w:val="18"/>
          <w:szCs w:val="18"/>
          <w:lang w:val="nl-NL"/>
        </w:rPr>
        <w:t>GreenAumatic</w:t>
      </w:r>
      <w:proofErr w:type="spellEnd"/>
      <w:r w:rsidRPr="00B92F03">
        <w:rPr>
          <w:rFonts w:ascii="Arial" w:eastAsia="Arial" w:hAnsi="Arial" w:cs="Arial"/>
          <w:i/>
          <w:iCs/>
          <w:color w:val="8A9B8E"/>
          <w:sz w:val="18"/>
          <w:szCs w:val="18"/>
          <w:lang w:val="nl-NL"/>
        </w:rPr>
        <w:t xml:space="preserve">, een platform dat MKB-ondernemers helpt grip te krijgen op hun duurzaamheidspositie — via slimme scans, heldere rapportages en begeleiding richting certificering. </w:t>
      </w:r>
      <w:hyperlink r:id="rId11" w:history="1">
        <w:r>
          <w:rPr>
            <w:rFonts w:ascii="Arial" w:eastAsia="Arial" w:hAnsi="Arial" w:cs="Arial"/>
            <w:i/>
            <w:iCs/>
            <w:color w:val="1E6B3C"/>
            <w:sz w:val="18"/>
            <w:szCs w:val="18"/>
          </w:rPr>
          <w:t>bedrijvenscan.nl</w:t>
        </w:r>
      </w:hyperlink>
      <w:r w:rsidR="004177EF">
        <w:t xml:space="preserve"> </w:t>
      </w:r>
      <w:proofErr w:type="spellStart"/>
      <w:r w:rsidR="009F2D6E" w:rsidRPr="009F2D6E">
        <w:rPr>
          <w:rFonts w:ascii="Arial" w:eastAsia="Arial" w:hAnsi="Arial" w:cs="Arial"/>
          <w:i/>
          <w:iCs/>
          <w:color w:val="8A9B8E"/>
          <w:sz w:val="18"/>
          <w:szCs w:val="18"/>
          <w:lang w:val="nl-NL"/>
        </w:rPr>
        <w:t>powered</w:t>
      </w:r>
      <w:proofErr w:type="spellEnd"/>
      <w:r w:rsidR="009F2D6E" w:rsidRPr="009F2D6E">
        <w:rPr>
          <w:rFonts w:ascii="Arial" w:eastAsia="Arial" w:hAnsi="Arial" w:cs="Arial"/>
          <w:i/>
          <w:iCs/>
          <w:color w:val="8A9B8E"/>
          <w:sz w:val="18"/>
          <w:szCs w:val="18"/>
          <w:lang w:val="nl-NL"/>
        </w:rPr>
        <w:t xml:space="preserve"> </w:t>
      </w:r>
      <w:proofErr w:type="spellStart"/>
      <w:r w:rsidR="009F2D6E" w:rsidRPr="009F2D6E">
        <w:rPr>
          <w:rFonts w:ascii="Arial" w:eastAsia="Arial" w:hAnsi="Arial" w:cs="Arial"/>
          <w:i/>
          <w:iCs/>
          <w:color w:val="8A9B8E"/>
          <w:sz w:val="18"/>
          <w:szCs w:val="18"/>
          <w:lang w:val="nl-NL"/>
        </w:rPr>
        <w:t>by</w:t>
      </w:r>
      <w:proofErr w:type="spellEnd"/>
      <w:r w:rsidR="004177EF" w:rsidRPr="009F2D6E">
        <w:rPr>
          <w:rFonts w:ascii="Arial" w:eastAsia="Arial" w:hAnsi="Arial" w:cs="Arial"/>
          <w:i/>
          <w:iCs/>
          <w:color w:val="8A9B8E"/>
          <w:sz w:val="18"/>
          <w:szCs w:val="18"/>
          <w:lang w:val="nl-NL"/>
        </w:rPr>
        <w:t xml:space="preserve"> </w:t>
      </w:r>
      <w:hyperlink r:id="rId12" w:history="1">
        <w:r w:rsidR="004177EF" w:rsidRPr="009F2D6E">
          <w:rPr>
            <w:rFonts w:ascii="Arial" w:eastAsia="Arial" w:hAnsi="Arial" w:cs="Arial"/>
            <w:i/>
            <w:iCs/>
            <w:color w:val="1E6B3C"/>
            <w:sz w:val="18"/>
            <w:szCs w:val="18"/>
          </w:rPr>
          <w:t>greenaumatic.com</w:t>
        </w:r>
      </w:hyperlink>
    </w:p>
    <w:sectPr w:rsidR="00FB3E3C">
      <w:headerReference w:type="default" r:id="rId13"/>
      <w:footerReference w:type="default" r:id="rId14"/>
      <w:pgSz w:w="11906" w:h="16838"/>
      <w:pgMar w:top="1418" w:right="1418" w:bottom="1418"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151B3" w14:textId="77777777" w:rsidR="00301802" w:rsidRDefault="00301802">
      <w:r>
        <w:separator/>
      </w:r>
    </w:p>
  </w:endnote>
  <w:endnote w:type="continuationSeparator" w:id="0">
    <w:p w14:paraId="1548308E" w14:textId="77777777" w:rsidR="00301802" w:rsidRDefault="0030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EC30" w14:textId="77777777" w:rsidR="00FB3E3C" w:rsidRDefault="0018136B">
    <w:pPr>
      <w:pBdr>
        <w:top w:val="single" w:sz="4" w:space="0" w:color="D4E0D8"/>
      </w:pBdr>
      <w:tabs>
        <w:tab w:val="right" w:pos="9072"/>
      </w:tabs>
      <w:spacing w:before="100"/>
    </w:pPr>
    <w:proofErr w:type="spellStart"/>
    <w:proofErr w:type="gramStart"/>
    <w:r>
      <w:rPr>
        <w:rFonts w:ascii="Arial" w:eastAsia="Arial" w:hAnsi="Arial" w:cs="Arial"/>
        <w:color w:val="8A9B8E"/>
        <w:sz w:val="16"/>
        <w:szCs w:val="16"/>
      </w:rPr>
      <w:t>GreenAumatic</w:t>
    </w:r>
    <w:proofErr w:type="spellEnd"/>
    <w:r>
      <w:rPr>
        <w:rFonts w:ascii="Arial" w:eastAsia="Arial" w:hAnsi="Arial" w:cs="Arial"/>
        <w:color w:val="8A9B8E"/>
        <w:sz w:val="16"/>
        <w:szCs w:val="16"/>
      </w:rPr>
      <w:t xml:space="preserve">  ·</w:t>
    </w:r>
    <w:proofErr w:type="gramEnd"/>
    <w:r>
      <w:rPr>
        <w:rFonts w:ascii="Arial" w:eastAsia="Arial" w:hAnsi="Arial" w:cs="Arial"/>
        <w:color w:val="8A9B8E"/>
        <w:sz w:val="16"/>
        <w:szCs w:val="16"/>
      </w:rPr>
      <w:t xml:space="preserve">  compass.greenaumatic.com</w:t>
    </w:r>
    <w:r>
      <w:rPr>
        <w:rFonts w:ascii="Arial" w:eastAsia="Arial" w:hAnsi="Arial" w:cs="Arial"/>
      </w:rPr>
      <w:tab/>
    </w:r>
    <w:r>
      <w:rPr>
        <w:rFonts w:ascii="Arial" w:eastAsia="Arial" w:hAnsi="Arial" w:cs="Arial"/>
        <w:color w:val="8A9B8E"/>
        <w:sz w:val="16"/>
        <w:szCs w:val="16"/>
      </w:rPr>
      <w:t>Patrick de Veer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1D29" w14:textId="77777777" w:rsidR="00301802" w:rsidRDefault="00301802">
      <w:r>
        <w:separator/>
      </w:r>
    </w:p>
  </w:footnote>
  <w:footnote w:type="continuationSeparator" w:id="0">
    <w:p w14:paraId="21CF94ED" w14:textId="77777777" w:rsidR="00301802" w:rsidRDefault="00301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EC2F" w14:textId="77122AA9" w:rsidR="00FB3E3C" w:rsidRPr="00B92F03" w:rsidRDefault="0018136B">
    <w:pPr>
      <w:pBdr>
        <w:bottom w:val="single" w:sz="6" w:space="0" w:color="1E6B3C"/>
      </w:pBdr>
      <w:tabs>
        <w:tab w:val="right" w:pos="9072"/>
      </w:tabs>
      <w:spacing w:after="120"/>
      <w:rPr>
        <w:lang w:val="nl-NL"/>
      </w:rPr>
    </w:pPr>
    <w:proofErr w:type="gramStart"/>
    <w:r w:rsidRPr="00B92F03">
      <w:rPr>
        <w:rFonts w:ascii="Arial" w:eastAsia="Arial" w:hAnsi="Arial" w:cs="Arial"/>
        <w:color w:val="5A6B5E"/>
        <w:sz w:val="18"/>
        <w:szCs w:val="18"/>
        <w:lang w:val="nl-NL"/>
      </w:rPr>
      <w:t>Analyse  ·</w:t>
    </w:r>
    <w:proofErr w:type="gramEnd"/>
    <w:r w:rsidRPr="00B92F03">
      <w:rPr>
        <w:rFonts w:ascii="Arial" w:eastAsia="Arial" w:hAnsi="Arial" w:cs="Arial"/>
        <w:color w:val="5A6B5E"/>
        <w:sz w:val="18"/>
        <w:szCs w:val="18"/>
        <w:lang w:val="nl-NL"/>
      </w:rPr>
      <w:t xml:space="preserve">  Verslaggeving &amp; Transparantie</w:t>
    </w:r>
    <w:r w:rsidRPr="00B92F03">
      <w:rPr>
        <w:rFonts w:ascii="Arial" w:eastAsia="Arial" w:hAnsi="Arial" w:cs="Arial"/>
        <w:lang w:val="nl-NL"/>
      </w:rPr>
      <w:tab/>
    </w:r>
    <w:r w:rsidR="00F6352F">
      <w:rPr>
        <w:rFonts w:ascii="Arial" w:eastAsia="Arial" w:hAnsi="Arial" w:cs="Arial"/>
        <w:color w:val="1E6B3C"/>
        <w:sz w:val="18"/>
        <w:szCs w:val="18"/>
        <w:lang w:val="nl-NL"/>
      </w:rPr>
      <w:t>bedrijvenscan</w:t>
    </w:r>
    <w:r w:rsidRPr="00B92F03">
      <w:rPr>
        <w:rFonts w:ascii="Arial" w:eastAsia="Arial" w:hAnsi="Arial" w:cs="Arial"/>
        <w:color w:val="1E6B3C"/>
        <w:sz w:val="18"/>
        <w:szCs w:val="18"/>
        <w:lang w:val="nl-NL"/>
      </w:rPr>
      <w:t>.nl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678FE"/>
    <w:multiLevelType w:val="hybridMultilevel"/>
    <w:tmpl w:val="6686A028"/>
    <w:lvl w:ilvl="0" w:tplc="BD7E389C">
      <w:start w:val="1"/>
      <w:numFmt w:val="bullet"/>
      <w:lvlText w:val="●"/>
      <w:lvlJc w:val="left"/>
      <w:pPr>
        <w:ind w:left="720" w:hanging="360"/>
      </w:pPr>
    </w:lvl>
    <w:lvl w:ilvl="1" w:tplc="00D2C970">
      <w:start w:val="1"/>
      <w:numFmt w:val="bullet"/>
      <w:lvlText w:val="○"/>
      <w:lvlJc w:val="left"/>
      <w:pPr>
        <w:ind w:left="1440" w:hanging="360"/>
      </w:pPr>
    </w:lvl>
    <w:lvl w:ilvl="2" w:tplc="69D68D2C">
      <w:start w:val="1"/>
      <w:numFmt w:val="bullet"/>
      <w:lvlText w:val="■"/>
      <w:lvlJc w:val="left"/>
      <w:pPr>
        <w:ind w:left="2160" w:hanging="360"/>
      </w:pPr>
    </w:lvl>
    <w:lvl w:ilvl="3" w:tplc="5CB289B6">
      <w:start w:val="1"/>
      <w:numFmt w:val="bullet"/>
      <w:lvlText w:val="●"/>
      <w:lvlJc w:val="left"/>
      <w:pPr>
        <w:ind w:left="2880" w:hanging="360"/>
      </w:pPr>
    </w:lvl>
    <w:lvl w:ilvl="4" w:tplc="7750A890">
      <w:start w:val="1"/>
      <w:numFmt w:val="bullet"/>
      <w:lvlText w:val="○"/>
      <w:lvlJc w:val="left"/>
      <w:pPr>
        <w:ind w:left="3600" w:hanging="360"/>
      </w:pPr>
    </w:lvl>
    <w:lvl w:ilvl="5" w:tplc="294CAC3A">
      <w:start w:val="1"/>
      <w:numFmt w:val="bullet"/>
      <w:lvlText w:val="■"/>
      <w:lvlJc w:val="left"/>
      <w:pPr>
        <w:ind w:left="4320" w:hanging="360"/>
      </w:pPr>
    </w:lvl>
    <w:lvl w:ilvl="6" w:tplc="BCEC4EB2">
      <w:start w:val="1"/>
      <w:numFmt w:val="bullet"/>
      <w:lvlText w:val="●"/>
      <w:lvlJc w:val="left"/>
      <w:pPr>
        <w:ind w:left="5040" w:hanging="360"/>
      </w:pPr>
    </w:lvl>
    <w:lvl w:ilvl="7" w:tplc="863AF4D0">
      <w:start w:val="1"/>
      <w:numFmt w:val="bullet"/>
      <w:lvlText w:val="●"/>
      <w:lvlJc w:val="left"/>
      <w:pPr>
        <w:ind w:left="5760" w:hanging="360"/>
      </w:pPr>
    </w:lvl>
    <w:lvl w:ilvl="8" w:tplc="597EC0AC">
      <w:start w:val="1"/>
      <w:numFmt w:val="bullet"/>
      <w:lvlText w:val="●"/>
      <w:lvlJc w:val="left"/>
      <w:pPr>
        <w:ind w:left="6480" w:hanging="360"/>
      </w:pPr>
    </w:lvl>
  </w:abstractNum>
  <w:abstractNum w:abstractNumId="1" w15:restartNumberingAfterBreak="0">
    <w:nsid w:val="67224675"/>
    <w:multiLevelType w:val="hybridMultilevel"/>
    <w:tmpl w:val="8CFAF26C"/>
    <w:lvl w:ilvl="0" w:tplc="BAE22128">
      <w:start w:val="1"/>
      <w:numFmt w:val="bullet"/>
      <w:lvlText w:val="●"/>
      <w:lvlJc w:val="left"/>
      <w:pPr>
        <w:ind w:left="720" w:hanging="360"/>
      </w:pPr>
    </w:lvl>
    <w:lvl w:ilvl="1" w:tplc="651085CE">
      <w:start w:val="1"/>
      <w:numFmt w:val="bullet"/>
      <w:lvlText w:val="○"/>
      <w:lvlJc w:val="left"/>
      <w:pPr>
        <w:ind w:left="1440" w:hanging="360"/>
      </w:pPr>
    </w:lvl>
    <w:lvl w:ilvl="2" w:tplc="9E0007CA">
      <w:start w:val="1"/>
      <w:numFmt w:val="bullet"/>
      <w:lvlText w:val="■"/>
      <w:lvlJc w:val="left"/>
      <w:pPr>
        <w:ind w:left="2160" w:hanging="360"/>
      </w:pPr>
    </w:lvl>
    <w:lvl w:ilvl="3" w:tplc="459E2078">
      <w:start w:val="1"/>
      <w:numFmt w:val="bullet"/>
      <w:lvlText w:val="●"/>
      <w:lvlJc w:val="left"/>
      <w:pPr>
        <w:ind w:left="2880" w:hanging="360"/>
      </w:pPr>
    </w:lvl>
    <w:lvl w:ilvl="4" w:tplc="1CECD476">
      <w:start w:val="1"/>
      <w:numFmt w:val="bullet"/>
      <w:lvlText w:val="○"/>
      <w:lvlJc w:val="left"/>
      <w:pPr>
        <w:ind w:left="3600" w:hanging="360"/>
      </w:pPr>
    </w:lvl>
    <w:lvl w:ilvl="5" w:tplc="558408BE">
      <w:start w:val="1"/>
      <w:numFmt w:val="bullet"/>
      <w:lvlText w:val="■"/>
      <w:lvlJc w:val="left"/>
      <w:pPr>
        <w:ind w:left="4320" w:hanging="360"/>
      </w:pPr>
    </w:lvl>
    <w:lvl w:ilvl="6" w:tplc="AFC22072">
      <w:start w:val="1"/>
      <w:numFmt w:val="bullet"/>
      <w:lvlText w:val="●"/>
      <w:lvlJc w:val="left"/>
      <w:pPr>
        <w:ind w:left="5040" w:hanging="360"/>
      </w:pPr>
    </w:lvl>
    <w:lvl w:ilvl="7" w:tplc="085059C8">
      <w:start w:val="1"/>
      <w:numFmt w:val="bullet"/>
      <w:lvlText w:val="●"/>
      <w:lvlJc w:val="left"/>
      <w:pPr>
        <w:ind w:left="5760" w:hanging="360"/>
      </w:pPr>
    </w:lvl>
    <w:lvl w:ilvl="8" w:tplc="E848CE6E">
      <w:start w:val="1"/>
      <w:numFmt w:val="bullet"/>
      <w:lvlText w:val="●"/>
      <w:lvlJc w:val="left"/>
      <w:pPr>
        <w:ind w:left="6480" w:hanging="360"/>
      </w:pPr>
    </w:lvl>
  </w:abstractNum>
  <w:num w:numId="1" w16cid:durableId="671026103">
    <w:abstractNumId w:val="0"/>
    <w:lvlOverride w:ilvl="0">
      <w:startOverride w:val="1"/>
    </w:lvlOverride>
  </w:num>
  <w:num w:numId="2" w16cid:durableId="85815931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3BD"/>
    <w:rsid w:val="000813BD"/>
    <w:rsid w:val="0018136B"/>
    <w:rsid w:val="00301802"/>
    <w:rsid w:val="004177EF"/>
    <w:rsid w:val="00474A91"/>
    <w:rsid w:val="00531369"/>
    <w:rsid w:val="00597DB6"/>
    <w:rsid w:val="009D0925"/>
    <w:rsid w:val="009F2D6E"/>
    <w:rsid w:val="00A006A9"/>
    <w:rsid w:val="00A33FDF"/>
    <w:rsid w:val="00B92F03"/>
    <w:rsid w:val="00D95BAB"/>
    <w:rsid w:val="00F6352F"/>
    <w:rsid w:val="00FB3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E1EBE2"/>
  <w15:docId w15:val="{1A5C3040-F742-354D-B727-A7781EB2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97DB6"/>
    <w:pPr>
      <w:tabs>
        <w:tab w:val="center" w:pos="4680"/>
        <w:tab w:val="right" w:pos="9360"/>
      </w:tabs>
    </w:pPr>
  </w:style>
  <w:style w:type="character" w:customStyle="1" w:styleId="HeaderChar">
    <w:name w:val="Header Char"/>
    <w:basedOn w:val="DefaultParagraphFont"/>
    <w:link w:val="Header"/>
    <w:uiPriority w:val="99"/>
    <w:rsid w:val="00597DB6"/>
  </w:style>
  <w:style w:type="paragraph" w:styleId="Footer">
    <w:name w:val="footer"/>
    <w:basedOn w:val="Normal"/>
    <w:link w:val="FooterChar"/>
    <w:uiPriority w:val="99"/>
    <w:unhideWhenUsed/>
    <w:rsid w:val="00597DB6"/>
    <w:pPr>
      <w:tabs>
        <w:tab w:val="center" w:pos="4680"/>
        <w:tab w:val="right" w:pos="9360"/>
      </w:tabs>
    </w:pPr>
  </w:style>
  <w:style w:type="character" w:customStyle="1" w:styleId="FooterChar">
    <w:name w:val="Footer Char"/>
    <w:basedOn w:val="DefaultParagraphFont"/>
    <w:link w:val="Footer"/>
    <w:uiPriority w:val="99"/>
    <w:rsid w:val="00597DB6"/>
  </w:style>
  <w:style w:type="character" w:styleId="UnresolvedMention">
    <w:name w:val="Unresolved Mention"/>
    <w:basedOn w:val="DefaultParagraphFont"/>
    <w:uiPriority w:val="99"/>
    <w:semiHidden/>
    <w:unhideWhenUsed/>
    <w:rsid w:val="009F2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reenaumatic.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drijvenscan.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edrijvenscan.nl/certificering-readin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B09BB21810E34B915D978DF0B9E818" ma:contentTypeVersion="18" ma:contentTypeDescription="Create a new document." ma:contentTypeScope="" ma:versionID="0d78cd62a9b9d46de6347decfb93b69a">
  <xsd:schema xmlns:xsd="http://www.w3.org/2001/XMLSchema" xmlns:xs="http://www.w3.org/2001/XMLSchema" xmlns:p="http://schemas.microsoft.com/office/2006/metadata/properties" xmlns:ns2="e397d49f-6f59-4f25-b51c-c80ec6e09cea" xmlns:ns3="6a47cb59-2ea4-4ebf-9d45-82858189151d" targetNamespace="http://schemas.microsoft.com/office/2006/metadata/properties" ma:root="true" ma:fieldsID="c23412b478665277e3db6d7b3ac7f733" ns2:_="" ns3:_="">
    <xsd:import namespace="e397d49f-6f59-4f25-b51c-c80ec6e09cea"/>
    <xsd:import namespace="6a47cb59-2ea4-4ebf-9d45-8285818915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7d49f-6f59-4f25-b51c-c80ec6e09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3e888e-4ea1-4000-b61a-f94e892233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47cb59-2ea4-4ebf-9d45-8285818915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00cef6-0fc4-4103-8a43-1d0b37af3b28}" ma:internalName="TaxCatchAll" ma:showField="CatchAllData" ma:web="6a47cb59-2ea4-4ebf-9d45-82858189151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97d49f-6f59-4f25-b51c-c80ec6e09cea">
      <Terms xmlns="http://schemas.microsoft.com/office/infopath/2007/PartnerControls"/>
    </lcf76f155ced4ddcb4097134ff3c332f>
    <TaxCatchAll xmlns="6a47cb59-2ea4-4ebf-9d45-82858189151d" xsi:nil="true"/>
  </documentManagement>
</p:properties>
</file>

<file path=customXml/itemProps1.xml><?xml version="1.0" encoding="utf-8"?>
<ds:datastoreItem xmlns:ds="http://schemas.openxmlformats.org/officeDocument/2006/customXml" ds:itemID="{CEAC4E01-AF06-45F0-A2AE-FB5D06730CC6}"/>
</file>

<file path=customXml/itemProps2.xml><?xml version="1.0" encoding="utf-8"?>
<ds:datastoreItem xmlns:ds="http://schemas.openxmlformats.org/officeDocument/2006/customXml" ds:itemID="{0B39290B-C45D-4872-8A94-EBDF8CECB40F}">
  <ds:schemaRefs>
    <ds:schemaRef ds:uri="http://schemas.microsoft.com/sharepoint/v3/contenttype/forms"/>
  </ds:schemaRefs>
</ds:datastoreItem>
</file>

<file path=customXml/itemProps3.xml><?xml version="1.0" encoding="utf-8"?>
<ds:datastoreItem xmlns:ds="http://schemas.openxmlformats.org/officeDocument/2006/customXml" ds:itemID="{F9C24F46-8F5D-4150-8588-160FB8A47AC3}">
  <ds:schemaRefs>
    <ds:schemaRef ds:uri="http://schemas.microsoft.com/office/2006/metadata/properties"/>
    <ds:schemaRef ds:uri="http://schemas.microsoft.com/office/infopath/2007/PartnerControls"/>
    <ds:schemaRef ds:uri="9ad9fb44-e865-430f-9a93-886a7defb462"/>
    <ds:schemaRef ds:uri="51fa3bab-40ac-466b-813a-caa4d59c4ef7"/>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1377</Words>
  <Characters>7854</Characters>
  <Application>Microsoft Office Word</Application>
  <DocSecurity>0</DocSecurity>
  <Lines>65</Lines>
  <Paragraphs>18</Paragraphs>
  <ScaleCrop>false</ScaleCrop>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Patrick De Veer</cp:lastModifiedBy>
  <cp:revision>9</cp:revision>
  <dcterms:created xsi:type="dcterms:W3CDTF">2026-05-18T10:31:00Z</dcterms:created>
  <dcterms:modified xsi:type="dcterms:W3CDTF">2026-05-22T09:10:00Z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0x0101001EB09BB21810E34B915D978DF0B9E818</vt:lpwstr>
  </property>
  <property fmtid="{D5CDD505-2E9C-101B-9397-08002B2CF9AE}" pid="3" name="MediaServiceImageTags">
    <vt:lpwstr/>
  </property>
</Properties>
</file>